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BEC4A">
      <w:pPr>
        <w:jc w:val="center"/>
        <w:rPr>
          <w:rFonts w:hint="default" w:ascii="Calibri" w:hAnsi="Calibri" w:eastAsia="SimSun" w:cs="Calibri"/>
          <w:b w:val="0"/>
          <w:bCs w:val="0"/>
          <w:spacing w:val="0"/>
          <w:kern w:val="0"/>
          <w:sz w:val="24"/>
          <w:szCs w:val="24"/>
          <w:lang w:val="en-US" w:eastAsia="zh-CN" w:bidi="ar"/>
        </w:rPr>
      </w:pPr>
      <w:r>
        <w:rPr>
          <w:rFonts w:hint="default"/>
          <w:b/>
          <w:bCs/>
          <w:sz w:val="24"/>
          <w:szCs w:val="24"/>
          <w:lang w:val="es-CL"/>
        </w:rPr>
        <w:t>Trabajo de investigacion contenedores y sistemas asociados</w:t>
      </w:r>
    </w:p>
    <w:p w14:paraId="7D4F6712">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62A05C18">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 xml:space="preserve">La carga en contenedor representó una </w:t>
      </w:r>
      <w:r>
        <w:rPr>
          <w:rFonts w:hint="default" w:ascii="Calibri" w:hAnsi="Calibri" w:eastAsia="SimSun" w:cs="Calibri"/>
          <w:b w:val="0"/>
          <w:bCs w:val="0"/>
          <w:spacing w:val="0"/>
          <w:kern w:val="0"/>
          <w:sz w:val="24"/>
          <w:szCs w:val="24"/>
          <w:lang w:val="en-US" w:eastAsia="zh-CN" w:bidi="ar"/>
        </w:rPr>
        <w:t>importante revolución innovadora</w:t>
      </w:r>
      <w:r>
        <w:rPr>
          <w:rFonts w:hint="default" w:ascii="Calibri" w:hAnsi="Calibri" w:eastAsia="SimSun" w:cs="Calibri"/>
          <w:b w:val="0"/>
          <w:bCs w:val="0"/>
          <w:spacing w:val="0"/>
          <w:kern w:val="0"/>
          <w:sz w:val="24"/>
          <w:szCs w:val="24"/>
          <w:lang w:val="en-US" w:eastAsia="zh-CN" w:bidi="ar"/>
        </w:rPr>
        <w:t xml:space="preserve"> en el comercio internacional y el transporte marítimo a partir de </w:t>
      </w:r>
      <w:r>
        <w:rPr>
          <w:rFonts w:hint="default" w:ascii="Calibri" w:hAnsi="Calibri" w:eastAsia="SimSun" w:cs="Calibri"/>
          <w:b w:val="0"/>
          <w:bCs w:val="0"/>
          <w:spacing w:val="0"/>
          <w:kern w:val="0"/>
          <w:sz w:val="24"/>
          <w:szCs w:val="24"/>
          <w:lang w:val="en-US" w:eastAsia="zh-CN" w:bidi="ar"/>
        </w:rPr>
        <w:t>1956</w:t>
      </w:r>
      <w:r>
        <w:rPr>
          <w:rFonts w:hint="default" w:ascii="Calibri" w:hAnsi="Calibri" w:eastAsia="SimSun" w:cs="Calibri"/>
          <w:b w:val="0"/>
          <w:bCs w:val="0"/>
          <w:spacing w:val="0"/>
          <w:kern w:val="0"/>
          <w:sz w:val="24"/>
          <w:szCs w:val="24"/>
          <w:lang w:val="en-US" w:eastAsia="zh-CN" w:bidi="ar"/>
        </w:rPr>
        <w:t xml:space="preserve">. </w:t>
      </w:r>
      <w:r>
        <w:rPr>
          <w:rFonts w:hint="default" w:ascii="Calibri" w:hAnsi="Calibri" w:eastAsia="SimSun" w:cs="Calibri"/>
          <w:b w:val="0"/>
          <w:bCs w:val="0"/>
          <w:spacing w:val="0"/>
          <w:kern w:val="0"/>
          <w:sz w:val="24"/>
          <w:szCs w:val="24"/>
          <w:lang w:val="es-CL" w:eastAsia="zh-CN" w:bidi="ar"/>
        </w:rPr>
        <w:t xml:space="preserve">puesto que </w:t>
      </w:r>
      <w:r>
        <w:rPr>
          <w:rFonts w:hint="default" w:ascii="Calibri" w:hAnsi="Calibri" w:eastAsia="SimSun" w:cs="Calibri"/>
          <w:b w:val="0"/>
          <w:bCs w:val="0"/>
          <w:spacing w:val="0"/>
          <w:kern w:val="0"/>
          <w:sz w:val="24"/>
          <w:szCs w:val="24"/>
          <w:lang w:val="en-US" w:eastAsia="zh-CN" w:bidi="ar"/>
        </w:rPr>
        <w:t>Históricamente, las operaciones de carga y descarga se realizaban con paquetes convencionales (cajas, sacos, fardos y contenedores pequeños) que variaban su tamaño según la carga. La búsqueda de formas para facilitar la manipulación de la carga y reducir el tiempo de las operaciones llevó a la llegada del contenedor, que hizo posible un modo de transporte único en su conjunto</w:t>
      </w:r>
      <w:r>
        <w:rPr>
          <w:rFonts w:hint="default" w:ascii="Calibri" w:hAnsi="Calibri" w:eastAsia="SimSun" w:cs="Calibri"/>
          <w:b w:val="0"/>
          <w:bCs w:val="0"/>
          <w:spacing w:val="0"/>
          <w:kern w:val="0"/>
          <w:sz w:val="24"/>
          <w:szCs w:val="24"/>
          <w:lang w:val="es-CL" w:eastAsia="zh-CN" w:bidi="ar"/>
        </w:rPr>
        <w:t xml:space="preserve">  por </w:t>
      </w:r>
      <w:r>
        <w:rPr>
          <w:rFonts w:hint="default" w:ascii="Calibri" w:hAnsi="Calibri" w:cs="Calibri"/>
          <w:b w:val="0"/>
          <w:bCs w:val="0"/>
          <w:i w:val="0"/>
          <w:iCs w:val="0"/>
          <w:sz w:val="24"/>
          <w:szCs w:val="24"/>
        </w:rPr>
        <w:t xml:space="preserve"> Malcolm McLean, empresario estadounidense que en 1956 adaptó y operó el primer servicio comercial de transporte mediante contenedores (SS </w:t>
      </w:r>
      <w:r>
        <w:rPr>
          <w:rStyle w:val="4"/>
          <w:rFonts w:hint="default" w:ascii="Calibri" w:hAnsi="Calibri" w:cs="Calibri"/>
          <w:b w:val="0"/>
          <w:bCs w:val="0"/>
          <w:i w:val="0"/>
          <w:iCs w:val="0"/>
          <w:sz w:val="24"/>
          <w:szCs w:val="24"/>
        </w:rPr>
        <w:t>Ideal-X</w:t>
      </w:r>
      <w:r>
        <w:rPr>
          <w:rFonts w:hint="default" w:ascii="Calibri" w:hAnsi="Calibri" w:cs="Calibri"/>
          <w:b w:val="0"/>
          <w:bCs w:val="0"/>
          <w:i w:val="0"/>
          <w:iCs w:val="0"/>
          <w:sz w:val="24"/>
          <w:szCs w:val="24"/>
        </w:rPr>
        <w:t>)</w:t>
      </w:r>
      <w:r>
        <w:rPr>
          <w:rFonts w:hint="default" w:ascii="Calibri" w:hAnsi="Calibri" w:cs="Calibri"/>
          <w:b w:val="0"/>
          <w:bCs w:val="0"/>
          <w:i w:val="0"/>
          <w:iCs w:val="0"/>
          <w:sz w:val="24"/>
          <w:szCs w:val="24"/>
          <w:lang w:val="es-CL"/>
        </w:rPr>
        <w:t xml:space="preserve">, tambien, </w:t>
      </w:r>
      <w:r>
        <w:rPr>
          <w:rFonts w:hint="default" w:ascii="Calibri" w:hAnsi="Calibri" w:eastAsia="SimSun" w:cs="Calibri"/>
          <w:b w:val="0"/>
          <w:bCs w:val="0"/>
          <w:spacing w:val="0"/>
          <w:kern w:val="0"/>
          <w:sz w:val="24"/>
          <w:szCs w:val="24"/>
          <w:lang w:val="en-US" w:eastAsia="zh-CN" w:bidi="ar"/>
        </w:rPr>
        <w:t xml:space="preserve">la </w:t>
      </w:r>
      <w:r>
        <w:rPr>
          <w:rFonts w:hint="default" w:ascii="Calibri" w:hAnsi="Calibri" w:eastAsia="SimSun" w:cs="Calibri"/>
          <w:b w:val="0"/>
          <w:bCs w:val="0"/>
          <w:spacing w:val="0"/>
          <w:kern w:val="0"/>
          <w:sz w:val="24"/>
          <w:szCs w:val="24"/>
          <w:lang w:val="en-US" w:eastAsia="zh-CN" w:bidi="ar"/>
        </w:rPr>
        <w:t>ISO (International Standard Organization)</w:t>
      </w:r>
      <w:r>
        <w:rPr>
          <w:rFonts w:hint="default" w:ascii="Calibri" w:hAnsi="Calibri" w:eastAsia="SimSun" w:cs="Calibri"/>
          <w:b w:val="0"/>
          <w:bCs w:val="0"/>
          <w:spacing w:val="0"/>
          <w:kern w:val="0"/>
          <w:sz w:val="24"/>
          <w:szCs w:val="24"/>
          <w:lang w:val="en-US" w:eastAsia="zh-CN" w:bidi="ar"/>
        </w:rPr>
        <w:t xml:space="preserve"> estableció una serie de directrices para la construcción de contenedores, recogidas en las normas ISO/TC-104, con el fin de estandarizar su uso.</w:t>
      </w:r>
    </w:p>
    <w:p w14:paraId="052FCE63">
      <w:pPr>
        <w:keepNext w:val="0"/>
        <w:keepLines w:val="0"/>
        <w:widowControl/>
        <w:suppressLineNumbers w:val="0"/>
        <w:spacing w:line="200" w:lineRule="atLeast"/>
        <w:jc w:val="both"/>
        <w:rPr>
          <w:rFonts w:hint="default" w:ascii="Calibri" w:hAnsi="Calibri" w:eastAsia="sans-serif" w:cs="Calibri"/>
          <w:b w:val="0"/>
          <w:bCs w:val="0"/>
          <w:spacing w:val="0"/>
          <w:sz w:val="14"/>
          <w:szCs w:val="14"/>
        </w:rPr>
      </w:pPr>
    </w:p>
    <w:p w14:paraId="4D80C79A">
      <w:pPr>
        <w:keepNext w:val="0"/>
        <w:keepLines w:val="0"/>
        <w:widowControl/>
        <w:suppressLineNumbers w:val="0"/>
        <w:jc w:val="both"/>
        <w:rPr>
          <w:rFonts w:hint="default" w:ascii="Calibri" w:hAnsi="Calibri" w:cs="Calibri"/>
          <w:b w:val="0"/>
          <w:bCs w:val="0"/>
          <w:spacing w:val="0"/>
        </w:rPr>
      </w:pPr>
      <w:r>
        <w:rPr>
          <w:rFonts w:hint="default" w:ascii="Calibri" w:hAnsi="Calibri" w:eastAsia="SimSun" w:cs="Calibri"/>
          <w:b w:val="0"/>
          <w:bCs w:val="0"/>
          <w:spacing w:val="0"/>
          <w:kern w:val="0"/>
          <w:sz w:val="24"/>
          <w:szCs w:val="24"/>
          <w:lang w:val="en-US" w:eastAsia="zh-CN" w:bidi="ar"/>
        </w:rPr>
        <w:t>La evolución del transporte marítimo se ha enfocado en la eficiencia y la seguridad</w:t>
      </w:r>
      <w:r>
        <w:rPr>
          <w:rFonts w:hint="default" w:ascii="Calibri" w:hAnsi="Calibri" w:eastAsia="SimSun" w:cs="Calibri"/>
          <w:b w:val="0"/>
          <w:bCs w:val="0"/>
          <w:spacing w:val="0"/>
          <w:kern w:val="0"/>
          <w:sz w:val="24"/>
          <w:szCs w:val="24"/>
          <w:lang w:val="es-CL" w:eastAsia="zh-CN" w:bidi="ar"/>
        </w:rPr>
        <w:t xml:space="preserve"> y h</w:t>
      </w:r>
      <w:r>
        <w:rPr>
          <w:rFonts w:hint="default" w:ascii="Calibri" w:hAnsi="Calibri" w:eastAsia="SimSun" w:cs="Calibri"/>
          <w:b w:val="0"/>
          <w:bCs w:val="0"/>
          <w:spacing w:val="0"/>
          <w:kern w:val="0"/>
          <w:sz w:val="24"/>
          <w:szCs w:val="24"/>
          <w:lang w:val="en-US" w:eastAsia="zh-CN" w:bidi="ar"/>
        </w:rPr>
        <w:t>oy en día, la mayoría de la mercancía es transportada en contenedores.</w:t>
      </w:r>
    </w:p>
    <w:p w14:paraId="6E4AF870">
      <w:pPr>
        <w:keepNext w:val="0"/>
        <w:keepLines w:val="0"/>
        <w:widowControl/>
        <w:suppressLineNumbers w:val="0"/>
        <w:jc w:val="both"/>
        <w:rPr>
          <w:rFonts w:hint="default" w:ascii="Calibri" w:hAnsi="Calibri" w:cs="Calibri"/>
          <w:b w:val="0"/>
          <w:bCs w:val="0"/>
          <w:spacing w:val="0"/>
        </w:rPr>
      </w:pPr>
      <w:r>
        <w:rPr>
          <w:rFonts w:hint="default" w:ascii="Calibri" w:hAnsi="Calibri" w:eastAsia="SimSun" w:cs="Calibri"/>
          <w:b w:val="0"/>
          <w:bCs w:val="0"/>
          <w:spacing w:val="0"/>
          <w:kern w:val="0"/>
          <w:sz w:val="24"/>
          <w:szCs w:val="24"/>
          <w:lang w:val="en-US" w:eastAsia="zh-CN" w:bidi="ar"/>
        </w:rPr>
        <w:t xml:space="preserve">Los buques portacontenedores modernos, como el Veronica B, han sido construidos con </w:t>
      </w:r>
      <w:r>
        <w:rPr>
          <w:rFonts w:hint="default" w:ascii="Calibri" w:hAnsi="Calibri" w:eastAsia="SimSun" w:cs="Calibri"/>
          <w:b w:val="0"/>
          <w:bCs w:val="0"/>
          <w:spacing w:val="0"/>
          <w:kern w:val="0"/>
          <w:sz w:val="24"/>
          <w:szCs w:val="24"/>
          <w:lang w:val="en-US" w:eastAsia="zh-CN" w:bidi="ar"/>
        </w:rPr>
        <w:t>diseños avanzados</w:t>
      </w:r>
      <w:r>
        <w:rPr>
          <w:rFonts w:hint="default" w:ascii="Calibri" w:hAnsi="Calibri" w:eastAsia="SimSun" w:cs="Calibri"/>
          <w:b w:val="0"/>
          <w:bCs w:val="0"/>
          <w:spacing w:val="0"/>
          <w:kern w:val="0"/>
          <w:sz w:val="24"/>
          <w:szCs w:val="24"/>
          <w:lang w:val="en-US" w:eastAsia="zh-CN" w:bidi="ar"/>
        </w:rPr>
        <w:t xml:space="preserve"> que permiten una correcta operatividad con la carga y descarga, e incorporan los últimos sistemas que garantizan la seguridad de la tripulación, el buque y su carga.</w:t>
      </w:r>
    </w:p>
    <w:p w14:paraId="7D5C1B4A">
      <w:pPr>
        <w:keepNext w:val="0"/>
        <w:keepLines w:val="0"/>
        <w:widowControl/>
        <w:suppressLineNumbers w:val="0"/>
        <w:jc w:val="both"/>
        <w:rPr>
          <w:rFonts w:hint="default" w:ascii="Calibri" w:hAnsi="Calibri" w:cs="Calibri"/>
          <w:b w:val="0"/>
          <w:bCs w:val="0"/>
          <w:spacing w:val="0"/>
        </w:rPr>
      </w:pPr>
      <w:r>
        <w:rPr>
          <w:rFonts w:hint="default" w:ascii="Calibri" w:hAnsi="Calibri" w:eastAsia="SimSun" w:cs="Calibri"/>
          <w:b w:val="0"/>
          <w:bCs w:val="0"/>
          <w:spacing w:val="0"/>
          <w:kern w:val="0"/>
          <w:sz w:val="24"/>
          <w:szCs w:val="24"/>
          <w:lang w:val="en-US" w:eastAsia="zh-CN" w:bidi="ar"/>
        </w:rPr>
        <w:t xml:space="preserve">Un avance significativo en la estiba ha sido el uso de </w:t>
      </w:r>
      <w:r>
        <w:rPr>
          <w:rFonts w:hint="default" w:ascii="Calibri" w:hAnsi="Calibri" w:eastAsia="SimSun" w:cs="Calibri"/>
          <w:b w:val="0"/>
          <w:bCs w:val="0"/>
          <w:spacing w:val="0"/>
          <w:kern w:val="0"/>
          <w:sz w:val="24"/>
          <w:szCs w:val="24"/>
          <w:lang w:val="en-US" w:eastAsia="zh-CN" w:bidi="ar"/>
        </w:rPr>
        <w:t>guías celulares</w:t>
      </w:r>
      <w:r>
        <w:rPr>
          <w:rFonts w:hint="default" w:ascii="Calibri" w:hAnsi="Calibri" w:eastAsia="SimSun" w:cs="Calibri"/>
          <w:b w:val="0"/>
          <w:bCs w:val="0"/>
          <w:spacing w:val="0"/>
          <w:kern w:val="0"/>
          <w:sz w:val="24"/>
          <w:szCs w:val="24"/>
          <w:lang w:val="en-US" w:eastAsia="zh-CN" w:bidi="ar"/>
        </w:rPr>
        <w:t xml:space="preserve"> (raíles metálicos verticales que forman celdas) en las bodegas, un procedimiento que asegura la carga, ayuda a situar el contenedor, contribuye a la rapidez en las operaciones de carga y descarga, y elimina el trincaje manual adicional.</w:t>
      </w:r>
    </w:p>
    <w:p w14:paraId="34D62810">
      <w:pPr>
        <w:keepNext w:val="0"/>
        <w:keepLines w:val="0"/>
        <w:widowControl/>
        <w:suppressLineNumbers w:val="0"/>
        <w:jc w:val="both"/>
        <w:rPr>
          <w:rFonts w:hint="default" w:ascii="Calibri" w:hAnsi="Calibri" w:cs="Calibri"/>
          <w:b w:val="0"/>
          <w:bCs w:val="0"/>
          <w:spacing w:val="0"/>
        </w:rPr>
      </w:pPr>
      <w:r>
        <w:rPr>
          <w:rFonts w:hint="default" w:ascii="Calibri" w:hAnsi="Calibri" w:eastAsia="SimSun" w:cs="Calibri"/>
          <w:b w:val="0"/>
          <w:bCs w:val="0"/>
          <w:spacing w:val="0"/>
          <w:kern w:val="0"/>
          <w:sz w:val="24"/>
          <w:szCs w:val="24"/>
          <w:lang w:val="en-US" w:eastAsia="zh-CN" w:bidi="ar"/>
        </w:rPr>
        <w:t>Sin embargo, no todos los buques utilizan el mismo método en cubierta</w:t>
      </w:r>
      <w:r>
        <w:rPr>
          <w:rFonts w:hint="default" w:ascii="Calibri" w:hAnsi="Calibri" w:eastAsia="SimSun" w:cs="Calibri"/>
          <w:b w:val="0"/>
          <w:bCs w:val="0"/>
          <w:spacing w:val="0"/>
          <w:kern w:val="0"/>
          <w:sz w:val="24"/>
          <w:szCs w:val="24"/>
          <w:lang w:val="es-CL" w:eastAsia="zh-CN" w:bidi="ar"/>
        </w:rPr>
        <w:t xml:space="preserve"> hay </w:t>
      </w:r>
      <w:r>
        <w:rPr>
          <w:rFonts w:hint="default" w:ascii="Calibri" w:hAnsi="Calibri" w:eastAsia="SimSun" w:cs="Calibri"/>
          <w:b w:val="0"/>
          <w:bCs w:val="0"/>
          <w:spacing w:val="0"/>
          <w:kern w:val="0"/>
          <w:sz w:val="24"/>
          <w:szCs w:val="24"/>
          <w:lang w:val="en-US" w:eastAsia="zh-CN" w:bidi="ar"/>
        </w:rPr>
        <w:t xml:space="preserve">una diferencia clave entre los buques más pequeños o antiguos y los </w:t>
      </w:r>
      <w:r>
        <w:rPr>
          <w:rFonts w:hint="default" w:ascii="Calibri" w:hAnsi="Calibri" w:eastAsia="SimSun" w:cs="Calibri"/>
          <w:b w:val="0"/>
          <w:bCs w:val="0"/>
          <w:spacing w:val="0"/>
          <w:kern w:val="0"/>
          <w:sz w:val="24"/>
          <w:szCs w:val="24"/>
          <w:lang w:val="en-US" w:eastAsia="zh-CN" w:bidi="ar"/>
        </w:rPr>
        <w:t>grandes buques portacontenedores</w:t>
      </w:r>
      <w:r>
        <w:rPr>
          <w:rFonts w:hint="default" w:ascii="Calibri" w:hAnsi="Calibri" w:eastAsia="SimSun" w:cs="Calibri"/>
          <w:b w:val="0"/>
          <w:bCs w:val="0"/>
          <w:spacing w:val="0"/>
          <w:kern w:val="0"/>
          <w:sz w:val="24"/>
          <w:szCs w:val="24"/>
          <w:lang w:val="en-US" w:eastAsia="zh-CN" w:bidi="ar"/>
        </w:rPr>
        <w:t xml:space="preserve"> (como los de Maersk o MSC):</w:t>
      </w:r>
    </w:p>
    <w:p w14:paraId="5AB3F1D3">
      <w:pPr>
        <w:keepNext w:val="0"/>
        <w:keepLines w:val="0"/>
        <w:widowControl/>
        <w:suppressLineNumbers w:val="0"/>
        <w:jc w:val="both"/>
        <w:rPr>
          <w:rFonts w:hint="default" w:ascii="Calibri" w:hAnsi="Calibri" w:cs="Calibri"/>
          <w:b w:val="0"/>
          <w:bCs w:val="0"/>
          <w:spacing w:val="0"/>
        </w:rPr>
      </w:pPr>
      <w:r>
        <w:rPr>
          <w:rFonts w:hint="default" w:ascii="Calibri" w:hAnsi="Calibri" w:eastAsia="SimSun" w:cs="Calibri"/>
          <w:b w:val="0"/>
          <w:bCs w:val="0"/>
          <w:spacing w:val="0"/>
          <w:kern w:val="0"/>
          <w:sz w:val="24"/>
          <w:szCs w:val="24"/>
          <w:lang w:val="en-US" w:eastAsia="zh-CN" w:bidi="ar"/>
        </w:rPr>
        <w:t xml:space="preserve">• El Veronica B utiliza </w:t>
      </w:r>
      <w:r>
        <w:rPr>
          <w:rFonts w:hint="default" w:ascii="Calibri" w:hAnsi="Calibri" w:eastAsia="SimSun" w:cs="Calibri"/>
          <w:b w:val="0"/>
          <w:bCs w:val="0"/>
          <w:spacing w:val="0"/>
          <w:kern w:val="0"/>
          <w:sz w:val="24"/>
          <w:szCs w:val="24"/>
          <w:lang w:val="en-US" w:eastAsia="zh-CN" w:bidi="ar"/>
        </w:rPr>
        <w:t>estiba en cubierta sin guías celulares</w:t>
      </w:r>
      <w:r>
        <w:rPr>
          <w:rFonts w:hint="default" w:ascii="Calibri" w:hAnsi="Calibri" w:eastAsia="SimSun" w:cs="Calibri"/>
          <w:b w:val="0"/>
          <w:bCs w:val="0"/>
          <w:spacing w:val="0"/>
          <w:kern w:val="0"/>
          <w:sz w:val="24"/>
          <w:szCs w:val="24"/>
          <w:lang w:val="en-US" w:eastAsia="zh-CN" w:bidi="ar"/>
        </w:rPr>
        <w:t>, lo cual complica las tareas de estiba y trincaje del contenedor.</w:t>
      </w:r>
    </w:p>
    <w:p w14:paraId="74CD5D94">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 xml:space="preserve">• Los grandes buques modernos utilizan sistemas que </w:t>
      </w:r>
      <w:r>
        <w:rPr>
          <w:rFonts w:hint="default" w:ascii="Calibri" w:hAnsi="Calibri" w:eastAsia="SimSun" w:cs="Calibri"/>
          <w:b w:val="0"/>
          <w:bCs w:val="0"/>
          <w:spacing w:val="0"/>
          <w:kern w:val="0"/>
          <w:sz w:val="24"/>
          <w:szCs w:val="24"/>
          <w:lang w:val="en-US" w:eastAsia="zh-CN" w:bidi="ar"/>
        </w:rPr>
        <w:t>facilitan las operaciones</w:t>
      </w:r>
      <w:r>
        <w:rPr>
          <w:rFonts w:hint="default" w:ascii="Calibri" w:hAnsi="Calibri" w:eastAsia="SimSun" w:cs="Calibri"/>
          <w:b w:val="0"/>
          <w:bCs w:val="0"/>
          <w:spacing w:val="0"/>
          <w:kern w:val="0"/>
          <w:sz w:val="24"/>
          <w:szCs w:val="24"/>
          <w:lang w:val="en-US" w:eastAsia="zh-CN" w:bidi="ar"/>
        </w:rPr>
        <w:t xml:space="preserve"> en puerto a los estibadores y el trincaje a los marineros, con el objetivo de transportar la mercancía de la forma más eficiente y rápida posible.</w:t>
      </w:r>
    </w:p>
    <w:p w14:paraId="59E659DB">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036F4B73">
      <w:pPr>
        <w:keepNext w:val="0"/>
        <w:keepLines w:val="0"/>
        <w:widowControl/>
        <w:suppressLineNumbers w:val="0"/>
        <w:jc w:val="both"/>
        <w:rPr>
          <w:rFonts w:hint="default" w:ascii="Calibri" w:hAnsi="Calibri" w:cs="Calibri"/>
          <w:spacing w:val="0"/>
        </w:rPr>
      </w:pPr>
      <w:r>
        <w:rPr>
          <w:rFonts w:hint="default" w:ascii="Calibri" w:hAnsi="Calibri" w:eastAsia="SimSun" w:cs="Calibri"/>
          <w:spacing w:val="0"/>
          <w:kern w:val="0"/>
          <w:sz w:val="24"/>
          <w:szCs w:val="24"/>
          <w:lang w:val="en-US" w:eastAsia="zh-CN" w:bidi="ar"/>
        </w:rPr>
        <w:t xml:space="preserve">La capacidad de carga de los buques portacontenedores se mide en </w:t>
      </w:r>
      <w:r>
        <w:rPr>
          <w:rFonts w:hint="default" w:ascii="Calibri" w:hAnsi="Calibri" w:eastAsia="SimSun" w:cs="Calibri"/>
          <w:b/>
          <w:bCs/>
          <w:spacing w:val="0"/>
          <w:kern w:val="0"/>
          <w:sz w:val="24"/>
          <w:szCs w:val="24"/>
          <w:lang w:val="en-US" w:eastAsia="zh-CN" w:bidi="ar"/>
        </w:rPr>
        <w:t>T.E.U.</w:t>
      </w:r>
      <w:r>
        <w:rPr>
          <w:rFonts w:hint="default" w:ascii="Calibri" w:hAnsi="Calibri" w:eastAsia="SimSun" w:cs="Calibri"/>
          <w:spacing w:val="0"/>
          <w:kern w:val="0"/>
          <w:sz w:val="24"/>
          <w:szCs w:val="24"/>
          <w:lang w:val="en-US" w:eastAsia="zh-CN" w:bidi="ar"/>
        </w:rPr>
        <w:t xml:space="preserve"> (Twenty-feet Equivalent Unit), siendo 1 TEU el espacio que ocupa un contenedor de 20 pies. Los contenedores se clasifican habitualmente por sus dimensiones y las características de la carga que transportan.</w:t>
      </w:r>
      <w:bookmarkStart w:id="0" w:name="_GoBack"/>
      <w:bookmarkEnd w:id="0"/>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483"/>
        <w:gridCol w:w="6853"/>
      </w:tblGrid>
      <w:tr w14:paraId="3A9FD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vAlign w:val="center"/>
          </w:tcPr>
          <w:p w14:paraId="4BA7375D">
            <w:pPr>
              <w:keepNext w:val="0"/>
              <w:keepLines w:val="0"/>
              <w:widowControl/>
              <w:suppressLineNumbers w:val="0"/>
              <w:jc w:val="both"/>
              <w:rPr>
                <w:spacing w:val="0"/>
              </w:rPr>
            </w:pPr>
            <w:r>
              <w:rPr>
                <w:rFonts w:hint="default" w:ascii="Calibri" w:hAnsi="Calibri" w:eastAsia="SimSun" w:cs="Calibri"/>
                <w:spacing w:val="0"/>
                <w:kern w:val="0"/>
                <w:sz w:val="24"/>
                <w:szCs w:val="24"/>
                <w:lang w:val="en-US" w:eastAsia="zh-CN" w:bidi="ar"/>
              </w:rPr>
              <w:t xml:space="preserve">Tipo de </w:t>
            </w:r>
            <w:r>
              <w:rPr>
                <w:rFonts w:hint="default" w:ascii="Calibri" w:hAnsi="Calibri" w:eastAsia="SimSun" w:cs="Calibri"/>
                <w:spacing w:val="0"/>
                <w:kern w:val="0"/>
                <w:sz w:val="24"/>
                <w:szCs w:val="24"/>
                <w:lang w:val="es-CL" w:eastAsia="zh-CN" w:bidi="ar"/>
              </w:rPr>
              <w:t>contenedor</w:t>
            </w:r>
          </w:p>
        </w:tc>
        <w:tc>
          <w:tcPr>
            <w:tcW w:w="0" w:type="auto"/>
            <w:shd w:val="clear"/>
            <w:vAlign w:val="center"/>
          </w:tcPr>
          <w:p w14:paraId="1EEB3E29">
            <w:pPr>
              <w:keepNext w:val="0"/>
              <w:keepLines w:val="0"/>
              <w:widowControl/>
              <w:suppressLineNumbers w:val="0"/>
              <w:jc w:val="both"/>
              <w:rPr>
                <w:rFonts w:hint="default" w:ascii="Calibri" w:hAnsi="Calibri" w:cs="Calibri"/>
                <w:spacing w:val="0"/>
              </w:rPr>
            </w:pPr>
            <w:r>
              <w:rPr>
                <w:rFonts w:hint="default" w:ascii="Calibri" w:hAnsi="Calibri" w:eastAsia="SimSun" w:cs="Calibri"/>
                <w:spacing w:val="0"/>
                <w:kern w:val="0"/>
                <w:sz w:val="24"/>
                <w:szCs w:val="24"/>
                <w:lang w:val="en-US" w:eastAsia="zh-CN" w:bidi="ar"/>
              </w:rPr>
              <w:t xml:space="preserve">Descripción y </w:t>
            </w:r>
            <w:r>
              <w:rPr>
                <w:rFonts w:hint="default" w:ascii="Calibri" w:hAnsi="Calibri" w:eastAsia="SimSun" w:cs="Calibri"/>
                <w:spacing w:val="0"/>
                <w:kern w:val="0"/>
                <w:sz w:val="24"/>
                <w:szCs w:val="24"/>
                <w:lang w:val="es-CL" w:eastAsia="zh-CN" w:bidi="ar"/>
              </w:rPr>
              <w:t>uso particular</w:t>
            </w:r>
          </w:p>
        </w:tc>
      </w:tr>
      <w:tr w14:paraId="2173B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vAlign w:val="center"/>
          </w:tcPr>
          <w:p w14:paraId="2A39A4E1">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Dry Van / High Cube (HC)</w:t>
            </w:r>
          </w:p>
        </w:tc>
        <w:tc>
          <w:tcPr>
            <w:tcW w:w="0" w:type="auto"/>
            <w:shd w:val="clear"/>
            <w:vAlign w:val="center"/>
          </w:tcPr>
          <w:p w14:paraId="7BAD82AC">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Contenedor convencional sin refrigeración. Se utiliza para transportar cualquier carga seca normal (pallets, cajas, bolsas, tambores). El Dry Van mide 8.5 pies de altura, mientras que el High Cube (HC) mide 9.5 pies, siendo este último el más común en la naviera Boluda (95%). Miden 20, 40 o 45 pies de largo.</w:t>
            </w:r>
          </w:p>
        </w:tc>
      </w:tr>
      <w:tr w14:paraId="156E2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vAlign w:val="center"/>
          </w:tcPr>
          <w:p w14:paraId="468E97FB">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Open Top</w:t>
            </w:r>
          </w:p>
        </w:tc>
        <w:tc>
          <w:tcPr>
            <w:tcW w:w="0" w:type="auto"/>
            <w:shd w:val="clear"/>
            <w:vAlign w:val="center"/>
          </w:tcPr>
          <w:p w14:paraId="5D804197">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Facilita el transporte de cargas que sobresalen del contenedor. El techo puede cubrirse con una lona para proteger la carga.</w:t>
            </w:r>
          </w:p>
        </w:tc>
      </w:tr>
      <w:tr w14:paraId="1727F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5D88F72D">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Flat Rack (Flat)</w:t>
            </w:r>
          </w:p>
        </w:tc>
        <w:tc>
          <w:tcPr>
            <w:tcW w:w="0" w:type="auto"/>
            <w:shd w:val="clear"/>
            <w:vAlign w:val="center"/>
          </w:tcPr>
          <w:p w14:paraId="19276E25">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Consiste en una cubierta corrida sin tapas laterales. Se utiliza para cargas que no tienen dimensiones estándar. Sus tapas frontales pueden ser desmontables o fijas.</w:t>
            </w:r>
          </w:p>
        </w:tc>
      </w:tr>
      <w:tr w14:paraId="2AD3D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3B46E256">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Reefer</w:t>
            </w:r>
          </w:p>
        </w:tc>
        <w:tc>
          <w:tcPr>
            <w:tcW w:w="0" w:type="auto"/>
            <w:shd w:val="clear"/>
            <w:vAlign w:val="center"/>
          </w:tcPr>
          <w:p w14:paraId="5C756576">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Destacan por su refrigeración, manteniendo la mercancía a una temperatura establecida (generalmente bajo cero). Están dotados de equipo propio que genera frío y deben ir enchufados al buque para que el compresor funcione.</w:t>
            </w:r>
          </w:p>
        </w:tc>
      </w:tr>
      <w:tr w14:paraId="1B882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46630B15">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Contenedor-Tanque</w:t>
            </w:r>
          </w:p>
        </w:tc>
        <w:tc>
          <w:tcPr>
            <w:tcW w:w="0" w:type="auto"/>
            <w:shd w:val="clear"/>
            <w:vAlign w:val="center"/>
          </w:tcPr>
          <w:p w14:paraId="32F50B51">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Se utiliza para carga a granel líquida. Sus medidas son las de un contenedor de 20 pies.</w:t>
            </w:r>
          </w:p>
        </w:tc>
      </w:tr>
      <w:tr w14:paraId="3F9B6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3D9BA767">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Pallet Wide</w:t>
            </w:r>
          </w:p>
        </w:tc>
        <w:tc>
          <w:tcPr>
            <w:tcW w:w="0" w:type="auto"/>
            <w:shd w:val="clear"/>
            <w:vAlign w:val="center"/>
          </w:tcPr>
          <w:p w14:paraId="12968C41">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Son aproximadamente 6 centímetros más anchos que los contenedores estándar de 40 pies.</w:t>
            </w:r>
          </w:p>
        </w:tc>
      </w:tr>
      <w:tr w14:paraId="7B427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vAlign w:val="center"/>
          </w:tcPr>
          <w:p w14:paraId="79EE8ACB">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Jaulas</w:t>
            </w:r>
          </w:p>
        </w:tc>
        <w:tc>
          <w:tcPr>
            <w:tcW w:w="0" w:type="auto"/>
            <w:shd w:val="clear"/>
            <w:vAlign w:val="center"/>
          </w:tcPr>
          <w:p w14:paraId="2502401F">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Originalmente utilizadas para el transporte de plátano (plataneras), ahora se usan para transportar chatarra y pallets de construcción. Se utilizan para cargar pallets que no entran por las puertas de los contenedores estándar o que requieren grúas especiales.</w:t>
            </w:r>
          </w:p>
        </w:tc>
      </w:tr>
    </w:tbl>
    <w:p w14:paraId="496E8BDB">
      <w:pPr>
        <w:keepNext w:val="0"/>
        <w:keepLines w:val="0"/>
        <w:widowControl/>
        <w:suppressLineNumbers w:val="0"/>
        <w:jc w:val="both"/>
        <w:rPr>
          <w:rFonts w:ascii="SimSun" w:hAnsi="SimSun" w:eastAsia="SimSun" w:cs="SimSun"/>
          <w:spacing w:val="0"/>
          <w:kern w:val="0"/>
          <w:sz w:val="24"/>
          <w:szCs w:val="24"/>
          <w:lang w:val="en-US" w:eastAsia="zh-CN" w:bidi="ar"/>
        </w:rPr>
      </w:pPr>
    </w:p>
    <w:p w14:paraId="063F91DC">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La identificación de un contenedor marítimo se realiza mediante una combinación alfanumérica de 11 dígitos.</w:t>
      </w:r>
    </w:p>
    <w:p w14:paraId="2CE319A5">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5AC96DF4">
      <w:pPr>
        <w:keepNext w:val="0"/>
        <w:keepLines w:val="0"/>
        <w:widowControl/>
        <w:numPr>
          <w:ilvl w:val="0"/>
          <w:numId w:val="1"/>
        </w:numPr>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s-CL" w:eastAsia="zh-CN" w:bidi="ar"/>
        </w:rPr>
        <w:t xml:space="preserve">Las primeras </w:t>
      </w:r>
      <w:r>
        <w:rPr>
          <w:rFonts w:hint="default" w:ascii="Calibri" w:hAnsi="Calibri" w:eastAsia="SimSun" w:cs="Calibri"/>
          <w:b w:val="0"/>
          <w:bCs w:val="0"/>
          <w:spacing w:val="0"/>
          <w:kern w:val="0"/>
          <w:sz w:val="24"/>
          <w:szCs w:val="24"/>
          <w:lang w:val="en-US" w:eastAsia="zh-CN" w:bidi="ar"/>
        </w:rPr>
        <w:t>3 letras: Identifican al propietario del contenedor.</w:t>
      </w:r>
    </w:p>
    <w:p w14:paraId="2A860144">
      <w:pPr>
        <w:keepNext w:val="0"/>
        <w:keepLines w:val="0"/>
        <w:widowControl/>
        <w:numPr>
          <w:numId w:val="0"/>
        </w:numPr>
        <w:suppressLineNumbers w:val="0"/>
        <w:jc w:val="both"/>
        <w:rPr>
          <w:rFonts w:hint="default" w:ascii="Calibri" w:hAnsi="Calibri" w:eastAsia="SimSun" w:cs="Calibri"/>
          <w:b w:val="0"/>
          <w:bCs w:val="0"/>
          <w:spacing w:val="0"/>
          <w:kern w:val="0"/>
          <w:sz w:val="24"/>
          <w:szCs w:val="24"/>
          <w:lang w:val="en-US" w:eastAsia="zh-CN" w:bidi="ar"/>
        </w:rPr>
      </w:pPr>
    </w:p>
    <w:p w14:paraId="0F7099E3">
      <w:pPr>
        <w:keepNext w:val="0"/>
        <w:keepLines w:val="0"/>
        <w:widowControl/>
        <w:numPr>
          <w:ilvl w:val="0"/>
          <w:numId w:val="1"/>
        </w:numPr>
        <w:suppressLineNumbers w:val="0"/>
        <w:ind w:left="0" w:leftChars="0" w:firstLine="0" w:firstLineChars="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s-CL" w:eastAsia="zh-CN" w:bidi="ar"/>
        </w:rPr>
        <w:t xml:space="preserve">La siguiente </w:t>
      </w:r>
      <w:r>
        <w:rPr>
          <w:rFonts w:hint="default" w:ascii="Calibri" w:hAnsi="Calibri" w:eastAsia="SimSun" w:cs="Calibri"/>
          <w:b w:val="0"/>
          <w:bCs w:val="0"/>
          <w:spacing w:val="0"/>
          <w:kern w:val="0"/>
          <w:sz w:val="24"/>
          <w:szCs w:val="24"/>
          <w:lang w:val="en-US" w:eastAsia="zh-CN" w:bidi="ar"/>
        </w:rPr>
        <w:t>letra: Identifica el tipo de cargamento que contiene el contenedor.</w:t>
      </w:r>
    </w:p>
    <w:p w14:paraId="59336708">
      <w:pPr>
        <w:keepNext w:val="0"/>
        <w:keepLines w:val="0"/>
        <w:widowControl/>
        <w:numPr>
          <w:numId w:val="0"/>
        </w:numPr>
        <w:suppressLineNumbers w:val="0"/>
        <w:ind w:leftChars="0"/>
        <w:jc w:val="both"/>
        <w:rPr>
          <w:rFonts w:hint="default" w:ascii="Calibri" w:hAnsi="Calibri" w:eastAsia="SimSun" w:cs="Calibri"/>
          <w:b w:val="0"/>
          <w:bCs w:val="0"/>
          <w:spacing w:val="0"/>
          <w:kern w:val="0"/>
          <w:sz w:val="24"/>
          <w:szCs w:val="24"/>
          <w:lang w:val="en-US" w:eastAsia="zh-CN" w:bidi="ar"/>
        </w:rPr>
      </w:pPr>
    </w:p>
    <w:p w14:paraId="298759FC">
      <w:pPr>
        <w:keepNext w:val="0"/>
        <w:keepLines w:val="0"/>
        <w:widowControl/>
        <w:numPr>
          <w:ilvl w:val="0"/>
          <w:numId w:val="1"/>
        </w:numPr>
        <w:suppressLineNumbers w:val="0"/>
        <w:ind w:left="0" w:leftChars="0" w:firstLine="0" w:firstLineChars="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s-CL" w:eastAsia="zh-CN" w:bidi="ar"/>
        </w:rPr>
        <w:t xml:space="preserve">Los </w:t>
      </w:r>
      <w:r>
        <w:rPr>
          <w:rFonts w:hint="default" w:ascii="Calibri" w:hAnsi="Calibri" w:eastAsia="SimSun" w:cs="Calibri"/>
          <w:b w:val="0"/>
          <w:bCs w:val="0"/>
          <w:spacing w:val="0"/>
          <w:kern w:val="0"/>
          <w:sz w:val="24"/>
          <w:szCs w:val="24"/>
          <w:lang w:val="en-US" w:eastAsia="zh-CN" w:bidi="ar"/>
        </w:rPr>
        <w:t>6 números siguientes: Indican el número de serie.</w:t>
      </w:r>
    </w:p>
    <w:p w14:paraId="63DA7191">
      <w:pPr>
        <w:keepNext w:val="0"/>
        <w:keepLines w:val="0"/>
        <w:widowControl/>
        <w:numPr>
          <w:numId w:val="0"/>
        </w:numPr>
        <w:suppressLineNumbers w:val="0"/>
        <w:ind w:leftChars="0"/>
        <w:jc w:val="both"/>
        <w:rPr>
          <w:rFonts w:hint="default" w:ascii="Calibri" w:hAnsi="Calibri" w:eastAsia="SimSun" w:cs="Calibri"/>
          <w:b w:val="0"/>
          <w:bCs w:val="0"/>
          <w:spacing w:val="0"/>
          <w:kern w:val="0"/>
          <w:sz w:val="24"/>
          <w:szCs w:val="24"/>
          <w:lang w:val="en-US" w:eastAsia="zh-CN" w:bidi="ar"/>
        </w:rPr>
      </w:pPr>
    </w:p>
    <w:p w14:paraId="7CD530ED">
      <w:pPr>
        <w:keepNext w:val="0"/>
        <w:keepLines w:val="0"/>
        <w:widowControl/>
        <w:numPr>
          <w:ilvl w:val="0"/>
          <w:numId w:val="1"/>
        </w:numPr>
        <w:suppressLineNumbers w:val="0"/>
        <w:ind w:left="0" w:leftChars="0" w:firstLine="0" w:firstLineChars="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Último número: Es el dígito de comprobación (o dígito de control), que se calcula mediante un algoritmo específico.</w:t>
      </w:r>
    </w:p>
    <w:p w14:paraId="747FE662">
      <w:pPr>
        <w:keepNext w:val="0"/>
        <w:keepLines w:val="0"/>
        <w:widowControl/>
        <w:numPr>
          <w:numId w:val="0"/>
        </w:numPr>
        <w:suppressLineNumbers w:val="0"/>
        <w:ind w:leftChars="0"/>
        <w:jc w:val="both"/>
        <w:rPr>
          <w:rFonts w:hint="default" w:ascii="Calibri" w:hAnsi="Calibri" w:eastAsia="SimSun" w:cs="Calibri"/>
          <w:b w:val="0"/>
          <w:bCs w:val="0"/>
          <w:spacing w:val="0"/>
          <w:kern w:val="0"/>
          <w:sz w:val="24"/>
          <w:szCs w:val="24"/>
          <w:lang w:val="en-US" w:eastAsia="zh-CN" w:bidi="ar"/>
        </w:rPr>
      </w:pPr>
    </w:p>
    <w:p w14:paraId="603BF63C">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Este algoritmo, basado en una suma y división por 11, garantiza la validez de la matrícula. Por ejemplo, si el resultado de la diferencia entre la suma original y un número calculado da 10, el dígito de control es 0. Si el resultado es 7, el dígito de control es 7.</w:t>
      </w:r>
    </w:p>
    <w:p w14:paraId="1C78523C">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69F67E1F">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El trincaje es la operación esencial para sujetar firmemente la carga, de manera que pueda soportar los movimientos bruscos del buque (como el balance y el cabeceo) durante la travesía, evitando el corrimiento de la carga.</w:t>
      </w:r>
    </w:p>
    <w:p w14:paraId="51A77CBF">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2A9404FB">
      <w:pPr>
        <w:keepNext w:val="0"/>
        <w:keepLines w:val="0"/>
        <w:widowControl/>
        <w:suppressLineNumbers w:val="0"/>
        <w:spacing w:line="200" w:lineRule="atLeast"/>
        <w:jc w:val="both"/>
        <w:rPr>
          <w:rFonts w:hint="default" w:ascii="Calibri" w:hAnsi="Calibri" w:eastAsia="sans-serif" w:cs="Calibri"/>
          <w:b w:val="0"/>
          <w:bCs w:val="0"/>
          <w:spacing w:val="0"/>
          <w:sz w:val="24"/>
          <w:szCs w:val="24"/>
        </w:rPr>
      </w:pPr>
      <w:r>
        <w:rPr>
          <w:rFonts w:hint="default" w:ascii="Calibri" w:hAnsi="Calibri" w:eastAsia="sans-serif" w:cs="Calibri"/>
          <w:b w:val="0"/>
          <w:bCs w:val="0"/>
          <w:spacing w:val="0"/>
          <w:kern w:val="0"/>
          <w:sz w:val="24"/>
          <w:szCs w:val="24"/>
          <w:lang w:val="en-US" w:eastAsia="zh-CN" w:bidi="ar"/>
        </w:rPr>
        <w:t>Sistemas de Estiba</w:t>
      </w:r>
    </w:p>
    <w:p w14:paraId="46D182F0">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Los contenedores deben estibarse de proa a popa, de manera longitudinal, logrando un mayor aprovechamiento del espacio. Los contenedores cargados en cubierta deben ir con las puertas hacia popa para evitar los golpes de mar, y lo mismo aplica a los Reefers para proteger sus motores.</w:t>
      </w:r>
    </w:p>
    <w:p w14:paraId="11A4FE78">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2E494BE8">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4BC05521">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4652F401">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567CC020">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5AFC98E8">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30E994B5">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Existen dos métodos principales de estiba:</w:t>
      </w:r>
    </w:p>
    <w:p w14:paraId="044FB35E">
      <w:pPr>
        <w:keepNext w:val="0"/>
        <w:keepLines w:val="0"/>
        <w:widowControl/>
        <w:numPr>
          <w:ilvl w:val="0"/>
          <w:numId w:val="2"/>
        </w:numPr>
        <w:suppressLineNumbers w:val="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Mediante guías celulares: Es el procedimiento usado en las bodegas de los buques portacontenedores, donde raíles metálicos (celdas) permiten apilar los contenedores firmemente sin necesitar trincado adicional.</w:t>
      </w:r>
    </w:p>
    <w:p w14:paraId="12B3A714">
      <w:pPr>
        <w:keepNext w:val="0"/>
        <w:keepLines w:val="0"/>
        <w:widowControl/>
        <w:numPr>
          <w:numId w:val="0"/>
        </w:numPr>
        <w:suppressLineNumbers w:val="0"/>
        <w:jc w:val="both"/>
        <w:rPr>
          <w:rFonts w:hint="default" w:ascii="Calibri" w:hAnsi="Calibri" w:eastAsia="SimSun" w:cs="Calibri"/>
          <w:b w:val="0"/>
          <w:bCs w:val="0"/>
          <w:spacing w:val="0"/>
          <w:kern w:val="0"/>
          <w:sz w:val="24"/>
          <w:szCs w:val="24"/>
          <w:lang w:val="en-US" w:eastAsia="zh-CN" w:bidi="ar"/>
        </w:rPr>
      </w:pPr>
    </w:p>
    <w:p w14:paraId="5E436552">
      <w:pPr>
        <w:keepNext w:val="0"/>
        <w:keepLines w:val="0"/>
        <w:widowControl/>
        <w:numPr>
          <w:ilvl w:val="0"/>
          <w:numId w:val="2"/>
        </w:numPr>
        <w:suppressLineNumbers w:val="0"/>
        <w:ind w:left="0" w:leftChars="0" w:firstLine="0" w:firstLineChars="0"/>
        <w:jc w:val="both"/>
        <w:rPr>
          <w:rFonts w:hint="default" w:ascii="Calibri" w:hAnsi="Calibri" w:eastAsia="SimSun" w:cs="Calibri"/>
          <w:b w:val="0"/>
          <w:bCs w:val="0"/>
          <w:spacing w:val="0"/>
          <w:kern w:val="0"/>
          <w:sz w:val="24"/>
          <w:szCs w:val="24"/>
          <w:lang w:val="en-US" w:eastAsia="zh-CN" w:bidi="ar"/>
        </w:rPr>
      </w:pPr>
      <w:r>
        <w:rPr>
          <w:rFonts w:hint="default" w:ascii="Calibri" w:hAnsi="Calibri" w:eastAsia="SimSun" w:cs="Calibri"/>
          <w:b w:val="0"/>
          <w:bCs w:val="0"/>
          <w:spacing w:val="0"/>
          <w:kern w:val="0"/>
          <w:sz w:val="24"/>
          <w:szCs w:val="24"/>
          <w:lang w:val="en-US" w:eastAsia="zh-CN" w:bidi="ar"/>
        </w:rPr>
        <w:t>Sin guías celulares: Los contenedores se colocan agrupados en bloques y deben ser trincados para garantizar la resistencia a los movimientos del buque. Este método es más laborioso y es el que utiliza el Veronica B para la estiba en cubierta.</w:t>
      </w:r>
    </w:p>
    <w:p w14:paraId="665D5C96">
      <w:pPr>
        <w:keepNext w:val="0"/>
        <w:keepLines w:val="0"/>
        <w:widowControl/>
        <w:numPr>
          <w:numId w:val="0"/>
        </w:numPr>
        <w:suppressLineNumbers w:val="0"/>
        <w:ind w:leftChars="0"/>
        <w:jc w:val="both"/>
        <w:rPr>
          <w:rFonts w:hint="default" w:ascii="Calibri" w:hAnsi="Calibri" w:eastAsia="SimSun" w:cs="Calibri"/>
          <w:b w:val="0"/>
          <w:bCs w:val="0"/>
          <w:spacing w:val="0"/>
          <w:kern w:val="0"/>
          <w:sz w:val="24"/>
          <w:szCs w:val="24"/>
          <w:lang w:val="en-US" w:eastAsia="zh-CN" w:bidi="ar"/>
        </w:rPr>
      </w:pPr>
    </w:p>
    <w:p w14:paraId="59AE6DCE">
      <w:pPr>
        <w:keepNext w:val="0"/>
        <w:keepLines w:val="0"/>
        <w:widowControl/>
        <w:suppressLineNumbers w:val="0"/>
        <w:spacing w:line="200" w:lineRule="atLeast"/>
        <w:jc w:val="both"/>
        <w:rPr>
          <w:rFonts w:hint="default" w:ascii="Calibri" w:hAnsi="Calibri" w:eastAsia="sans-serif" w:cs="Calibri"/>
          <w:b w:val="0"/>
          <w:bCs w:val="0"/>
          <w:spacing w:val="0"/>
          <w:sz w:val="24"/>
          <w:szCs w:val="24"/>
        </w:rPr>
      </w:pPr>
      <w:r>
        <w:rPr>
          <w:rFonts w:hint="default" w:ascii="Calibri" w:hAnsi="Calibri" w:eastAsia="sans-serif" w:cs="Calibri"/>
          <w:b w:val="0"/>
          <w:bCs w:val="0"/>
          <w:spacing w:val="0"/>
          <w:kern w:val="0"/>
          <w:sz w:val="24"/>
          <w:szCs w:val="24"/>
          <w:lang w:val="en-US" w:eastAsia="zh-CN" w:bidi="ar"/>
        </w:rPr>
        <w:t>Elementos del Sistema de Trinca y Tensores</w:t>
      </w:r>
    </w:p>
    <w:p w14:paraId="557E1633">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Para el aseguramiento se utilizan varios elementos de trincaje y sujeción:</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194"/>
        <w:gridCol w:w="6142"/>
      </w:tblGrid>
      <w:tr w14:paraId="40C29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71B58532">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Elemento</w:t>
            </w:r>
          </w:p>
        </w:tc>
        <w:tc>
          <w:tcPr>
            <w:tcW w:w="0" w:type="auto"/>
            <w:shd w:val="clear"/>
            <w:vAlign w:val="center"/>
          </w:tcPr>
          <w:p w14:paraId="60E1A92D">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Ubicación y Función</w:t>
            </w:r>
          </w:p>
        </w:tc>
      </w:tr>
      <w:tr w14:paraId="637F0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70D50B86">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Cono Autoposicionador</w:t>
            </w:r>
          </w:p>
        </w:tc>
        <w:tc>
          <w:tcPr>
            <w:tcW w:w="0" w:type="auto"/>
            <w:shd w:val="clear"/>
            <w:vAlign w:val="center"/>
          </w:tcPr>
          <w:p w14:paraId="56D5C78D">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Dispositivo de sujeción colocado entre los contenedores apilados en la bodega.</w:t>
            </w:r>
          </w:p>
        </w:tc>
      </w:tr>
      <w:tr w14:paraId="3F026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7A1DAC9E">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Cono de Estiba</w:t>
            </w:r>
          </w:p>
        </w:tc>
        <w:tc>
          <w:tcPr>
            <w:tcW w:w="0" w:type="auto"/>
            <w:shd w:val="clear"/>
            <w:vAlign w:val="center"/>
          </w:tcPr>
          <w:p w14:paraId="4C09DC1F">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Dispositivo de sujeción situado entre el fondo de la bodega y el contenedor.</w:t>
            </w:r>
          </w:p>
        </w:tc>
      </w:tr>
      <w:tr w14:paraId="59330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379C1847">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Twistlock</w:t>
            </w:r>
          </w:p>
        </w:tc>
        <w:tc>
          <w:tcPr>
            <w:tcW w:w="0" w:type="auto"/>
            <w:shd w:val="clear"/>
            <w:vAlign w:val="center"/>
          </w:tcPr>
          <w:p w14:paraId="5BCE8B97">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Dispositivo de sujeción colocado entre el contenedor y la tapa de la cubierta, en los fundamentos.</w:t>
            </w:r>
          </w:p>
        </w:tc>
      </w:tr>
      <w:tr w14:paraId="5F909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7D67C5AC">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Twistlock Automáticos de Cubierta</w:t>
            </w:r>
          </w:p>
        </w:tc>
        <w:tc>
          <w:tcPr>
            <w:tcW w:w="0" w:type="auto"/>
            <w:shd w:val="clear"/>
            <w:vAlign w:val="center"/>
          </w:tcPr>
          <w:p w14:paraId="38DAA6AB">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Van colocados en la parte baja de los contenedores a partir de la segunda altura en cubierta. Deben colocarse en direcciones opuestas (proa y popa) para evitar daños durante la descarga por la grúa.</w:t>
            </w:r>
          </w:p>
        </w:tc>
      </w:tr>
      <w:tr w14:paraId="289D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63E020FE">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Picos de Loro</w:t>
            </w:r>
          </w:p>
        </w:tc>
        <w:tc>
          <w:tcPr>
            <w:tcW w:w="0" w:type="auto"/>
            <w:shd w:val="clear"/>
            <w:vAlign w:val="center"/>
          </w:tcPr>
          <w:p w14:paraId="7AEF8E89">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Elemento de sujeción que se coloca entre el contenedor de 20 pies y la cubierta.</w:t>
            </w:r>
          </w:p>
        </w:tc>
      </w:tr>
      <w:tr w14:paraId="32C8A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2204A324">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Barra de Trincaje</w:t>
            </w:r>
          </w:p>
        </w:tc>
        <w:tc>
          <w:tcPr>
            <w:tcW w:w="0" w:type="auto"/>
            <w:shd w:val="clear"/>
            <w:vAlign w:val="center"/>
          </w:tcPr>
          <w:p w14:paraId="4285CEC5">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Se utiliza junto con los tensores para asegurar los contenedores a la cubierta.</w:t>
            </w:r>
          </w:p>
        </w:tc>
      </w:tr>
      <w:tr w14:paraId="66C0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240AA380">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Tensor</w:t>
            </w:r>
          </w:p>
        </w:tc>
        <w:tc>
          <w:tcPr>
            <w:tcW w:w="0" w:type="auto"/>
            <w:shd w:val="clear"/>
            <w:vAlign w:val="center"/>
          </w:tcPr>
          <w:p w14:paraId="20CAE5BE">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Dispositivo de sujeción que, junto con la barra de trincaje, asegura el contenedor a la cubierta mediante tensión. Las barras tensoras ayudan en la flexión del contenedor.</w:t>
            </w:r>
          </w:p>
        </w:tc>
      </w:tr>
      <w:tr w14:paraId="33074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vAlign w:val="center"/>
          </w:tcPr>
          <w:p w14:paraId="59ADE871">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Fundamentos</w:t>
            </w:r>
          </w:p>
        </w:tc>
        <w:tc>
          <w:tcPr>
            <w:tcW w:w="0" w:type="auto"/>
            <w:shd w:val="clear"/>
            <w:vAlign w:val="center"/>
          </w:tcPr>
          <w:p w14:paraId="555B4D88">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Piezas soldadas en las tapas de escotilla o en cubierta/fondo de la bodega para que se fijen los pines (elementos de trincaje).</w:t>
            </w:r>
          </w:p>
        </w:tc>
      </w:tr>
    </w:tbl>
    <w:p w14:paraId="3A114947">
      <w:pPr>
        <w:keepNext w:val="0"/>
        <w:keepLines w:val="0"/>
        <w:widowControl/>
        <w:suppressLineNumbers w:val="0"/>
        <w:jc w:val="both"/>
        <w:rPr>
          <w:rFonts w:hint="default" w:ascii="Calibri" w:hAnsi="Calibri" w:eastAsia="SimSun" w:cs="Calibri"/>
          <w:b w:val="0"/>
          <w:bCs w:val="0"/>
          <w:spacing w:val="0"/>
          <w:kern w:val="0"/>
          <w:sz w:val="24"/>
          <w:szCs w:val="24"/>
          <w:lang w:val="en-US" w:eastAsia="zh-CN" w:bidi="ar"/>
        </w:rPr>
      </w:pPr>
    </w:p>
    <w:p w14:paraId="5C5FD388">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23134761">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7F012A43">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037DFC13">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4A8DD3CC">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67325E04">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7707881E">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530D343A">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11D519F0">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5A7E06EF">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3339F03F">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06046C1A">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4E43E2FD">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1EC7D9CC">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r>
        <w:rPr>
          <w:rFonts w:hint="default" w:ascii="Calibri" w:hAnsi="Calibri" w:eastAsia="SimSun" w:cs="Calibri"/>
          <w:b w:val="0"/>
          <w:bCs w:val="0"/>
          <w:spacing w:val="0"/>
          <w:kern w:val="0"/>
          <w:sz w:val="24"/>
          <w:szCs w:val="24"/>
          <w:lang w:val="es-CL" w:eastAsia="zh-CN" w:bidi="ar"/>
        </w:rPr>
        <w:t xml:space="preserve">Algunos accidentes relacionados con contenedores son: </w:t>
      </w:r>
    </w:p>
    <w:p w14:paraId="7A41953B">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08D07C40">
      <w:pPr>
        <w:keepNext w:val="0"/>
        <w:keepLines w:val="0"/>
        <w:widowControl/>
        <w:numPr>
          <w:ilvl w:val="0"/>
          <w:numId w:val="3"/>
        </w:numPr>
        <w:suppressLineNumbers w:val="0"/>
        <w:jc w:val="both"/>
        <w:rPr>
          <w:rFonts w:hint="default" w:ascii="Calibri" w:hAnsi="Calibri" w:eastAsia="SimSun"/>
          <w:b w:val="0"/>
          <w:bCs w:val="0"/>
          <w:spacing w:val="0"/>
          <w:kern w:val="0"/>
          <w:sz w:val="24"/>
          <w:szCs w:val="24"/>
          <w:lang w:val="en-US" w:eastAsia="zh-CN"/>
        </w:rPr>
      </w:pPr>
      <w:r>
        <w:rPr>
          <w:rFonts w:hint="default" w:ascii="Calibri" w:hAnsi="Calibri" w:eastAsia="SimSun"/>
          <w:b w:val="0"/>
          <w:bCs w:val="0"/>
          <w:spacing w:val="0"/>
          <w:kern w:val="0"/>
          <w:sz w:val="24"/>
          <w:szCs w:val="24"/>
          <w:lang w:val="es-CL" w:eastAsia="zh-CN"/>
        </w:rPr>
        <w:t xml:space="preserve">El caso del </w:t>
      </w:r>
      <w:r>
        <w:rPr>
          <w:rFonts w:hint="default" w:ascii="Calibri" w:hAnsi="Calibri" w:eastAsia="SimSun"/>
          <w:b w:val="0"/>
          <w:bCs w:val="0"/>
          <w:spacing w:val="0"/>
          <w:kern w:val="0"/>
          <w:sz w:val="24"/>
          <w:szCs w:val="24"/>
          <w:lang w:val="en-US" w:eastAsia="zh-CN"/>
        </w:rPr>
        <w:t>ONE Apus</w:t>
      </w:r>
      <w:r>
        <w:rPr>
          <w:rFonts w:hint="default" w:ascii="Calibri" w:hAnsi="Calibri" w:eastAsia="SimSun"/>
          <w:b w:val="0"/>
          <w:bCs w:val="0"/>
          <w:spacing w:val="0"/>
          <w:kern w:val="0"/>
          <w:sz w:val="24"/>
          <w:szCs w:val="24"/>
          <w:lang w:val="es-CL" w:eastAsia="zh-CN"/>
        </w:rPr>
        <w:t xml:space="preserve"> donde</w:t>
      </w:r>
      <w:r>
        <w:rPr>
          <w:rFonts w:hint="default" w:ascii="Calibri" w:hAnsi="Calibri" w:eastAsia="SimSun"/>
          <w:b w:val="0"/>
          <w:bCs w:val="0"/>
          <w:spacing w:val="0"/>
          <w:kern w:val="0"/>
          <w:sz w:val="24"/>
          <w:szCs w:val="24"/>
          <w:lang w:val="en-US" w:eastAsia="zh-CN"/>
        </w:rPr>
        <w:t>: el portacontenedores ONE Apus sufrió fuertes rodadas en una zona de gran oleaje y perdió ≈1.800 contenedores al mar; muchos más resultaron dañados y colapsados en cubierta. Se investigó parametric roll como factor contribuyente</w:t>
      </w:r>
      <w:r>
        <w:rPr>
          <w:rFonts w:hint="default" w:ascii="Calibri" w:hAnsi="Calibri" w:eastAsia="SimSun"/>
          <w:b w:val="0"/>
          <w:bCs w:val="0"/>
          <w:spacing w:val="0"/>
          <w:kern w:val="0"/>
          <w:sz w:val="24"/>
          <w:szCs w:val="24"/>
          <w:lang w:val="es-CL" w:eastAsia="zh-CN"/>
        </w:rPr>
        <w:t xml:space="preserve"> y finalmente este fue considerado como</w:t>
      </w:r>
      <w:r>
        <w:rPr>
          <w:rFonts w:hint="default" w:ascii="Calibri" w:hAnsi="Calibri" w:eastAsia="SimSun"/>
          <w:b w:val="0"/>
          <w:bCs w:val="0"/>
          <w:spacing w:val="0"/>
          <w:kern w:val="0"/>
          <w:sz w:val="24"/>
          <w:szCs w:val="24"/>
          <w:lang w:val="en-US" w:eastAsia="zh-CN"/>
        </w:rPr>
        <w:t xml:space="preserve"> el mayor accidente por pérdida de contenedores desde 2013 </w:t>
      </w:r>
    </w:p>
    <w:p w14:paraId="205A094A">
      <w:pPr>
        <w:keepNext w:val="0"/>
        <w:keepLines w:val="0"/>
        <w:widowControl/>
        <w:suppressLineNumbers w:val="0"/>
        <w:jc w:val="both"/>
        <w:rPr>
          <w:rFonts w:hint="default" w:ascii="Calibri" w:hAnsi="Calibri" w:eastAsia="SimSun"/>
          <w:b w:val="0"/>
          <w:bCs w:val="0"/>
          <w:spacing w:val="0"/>
          <w:kern w:val="0"/>
          <w:sz w:val="24"/>
          <w:szCs w:val="24"/>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-198755</wp:posOffset>
                </wp:positionH>
                <wp:positionV relativeFrom="paragraph">
                  <wp:posOffset>172085</wp:posOffset>
                </wp:positionV>
                <wp:extent cx="1828800" cy="1828800"/>
                <wp:effectExtent l="4445" t="4445" r="8255" b="8255"/>
                <wp:wrapSquare wrapText="bothSides"/>
                <wp:docPr id="2" name="Cuadro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92D050"/>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B9E5952">
                            <w:pPr>
                              <w:keepNext w:val="0"/>
                              <w:keepLines w:val="0"/>
                              <w:widowControl/>
                              <w:suppressLineNumbers w:val="0"/>
                              <w:jc w:val="left"/>
                              <w:rPr>
                                <w:rFonts w:hint="default" w:ascii="Calibri" w:hAnsi="Calibri" w:eastAsia="SimSun"/>
                                <w:b/>
                                <w:bCs/>
                                <w:spacing w:val="0"/>
                                <w:kern w:val="0"/>
                                <w:sz w:val="24"/>
                                <w:szCs w:val="24"/>
                                <w:lang w:val="es-CL" w:eastAsia="zh-CN"/>
                              </w:rPr>
                            </w:pPr>
                            <w:r>
                              <w:rPr>
                                <w:rFonts w:hint="default" w:ascii="Calibri" w:hAnsi="Calibri" w:eastAsia="SimSun"/>
                                <w:b/>
                                <w:bCs/>
                                <w:spacing w:val="0"/>
                                <w:kern w:val="0"/>
                                <w:sz w:val="24"/>
                                <w:szCs w:val="24"/>
                                <w:lang w:val="es-CL" w:eastAsia="zh-CN"/>
                              </w:rPr>
                              <w:t>Imagenes relacionadas con el caso anterior:</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15.65pt;margin-top:13.55pt;height:144pt;width:144pt;mso-wrap-distance-bottom:0pt;mso-wrap-distance-left:9pt;mso-wrap-distance-right:9pt;mso-wrap-distance-top:0pt;mso-wrap-style:none;z-index:251660288;mso-width-relative:page;mso-height-relative:page;" fillcolor="#92D050" filled="t" stroked="t" coordsize="21600,21600" wrapcoords="-33 -338 -33 20923 21572 20923 21572 -338 -33 -338" o:gfxdata="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lQ3cs2wAAAAoBAAAPAAAAAAAA&#10;AAEAIAAAACIAAABkcnMvZG93bnJldi54bWxQSwECFAAUAAAACACHTuJAFWsYXkgCAAC8BAAADgAA&#10;AAAAAAABACAAAAAqAQAAZHJzL2Uyb0RvYy54bWxQSwUGAAAAAAYABgBZAQAA5AUAAAAA&#10;">
                <v:fill on="t" focussize="0,0"/>
                <v:stroke weight="0.5pt" color="#000000 [3204]" joinstyle="round"/>
                <v:imagedata o:title=""/>
                <o:lock v:ext="edit" aspectratio="f"/>
                <v:textbox style="mso-fit-shape-to-text:t;">
                  <w:txbxContent>
                    <w:p w14:paraId="4B9E5952">
                      <w:pPr>
                        <w:keepNext w:val="0"/>
                        <w:keepLines w:val="0"/>
                        <w:widowControl/>
                        <w:suppressLineNumbers w:val="0"/>
                        <w:jc w:val="left"/>
                        <w:rPr>
                          <w:rFonts w:hint="default" w:ascii="Calibri" w:hAnsi="Calibri" w:eastAsia="SimSun"/>
                          <w:b/>
                          <w:bCs/>
                          <w:spacing w:val="0"/>
                          <w:kern w:val="0"/>
                          <w:sz w:val="24"/>
                          <w:szCs w:val="24"/>
                          <w:lang w:val="es-CL" w:eastAsia="zh-CN"/>
                        </w:rPr>
                      </w:pPr>
                      <w:r>
                        <w:rPr>
                          <w:rFonts w:hint="default" w:ascii="Calibri" w:hAnsi="Calibri" w:eastAsia="SimSun"/>
                          <w:b/>
                          <w:bCs/>
                          <w:spacing w:val="0"/>
                          <w:kern w:val="0"/>
                          <w:sz w:val="24"/>
                          <w:szCs w:val="24"/>
                          <w:lang w:val="es-CL" w:eastAsia="zh-CN"/>
                        </w:rPr>
                        <w:t>Imagenes relacionadas con el caso anterior:</w:t>
                      </w:r>
                    </w:p>
                  </w:txbxContent>
                </v:textbox>
                <w10:wrap type="square"/>
              </v:shape>
            </w:pict>
          </mc:Fallback>
        </mc:AlternateContent>
      </w:r>
      <w:r>
        <w:rPr>
          <w:rFonts w:hint="default" w:ascii="Calibri" w:hAnsi="Calibri" w:eastAsia="SimSun"/>
          <w:b w:val="0"/>
          <w:bCs w:val="0"/>
          <w:spacing w:val="0"/>
          <w:kern w:val="0"/>
          <w:sz w:val="24"/>
          <w:szCs w:val="24"/>
          <w:lang w:val="es-CL" w:eastAsia="zh-CN"/>
        </w:rPr>
        <w:drawing>
          <wp:anchor distT="0" distB="0" distL="114300" distR="114300" simplePos="0" relativeHeight="251659264" behindDoc="0" locked="0" layoutInCell="1" allowOverlap="1">
            <wp:simplePos x="0" y="0"/>
            <wp:positionH relativeFrom="column">
              <wp:posOffset>-3027680</wp:posOffset>
            </wp:positionH>
            <wp:positionV relativeFrom="paragraph">
              <wp:posOffset>177165</wp:posOffset>
            </wp:positionV>
            <wp:extent cx="6203950" cy="2075815"/>
            <wp:effectExtent l="0" t="0" r="6350" b="6985"/>
            <wp:wrapNone/>
            <wp:docPr id="1" name="Imagen 1" descr="Captura de pantalla 2025-10-09 17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ptura de pantalla 2025-10-09 173024"/>
                    <pic:cNvPicPr>
                      <a:picLocks noChangeAspect="1"/>
                    </pic:cNvPicPr>
                  </pic:nvPicPr>
                  <pic:blipFill>
                    <a:blip r:embed="rId4"/>
                    <a:stretch>
                      <a:fillRect/>
                    </a:stretch>
                  </pic:blipFill>
                  <pic:spPr>
                    <a:xfrm>
                      <a:off x="0" y="0"/>
                      <a:ext cx="6203950" cy="2075815"/>
                    </a:xfrm>
                    <a:prstGeom prst="rect">
                      <a:avLst/>
                    </a:prstGeom>
                  </pic:spPr>
                </pic:pic>
              </a:graphicData>
            </a:graphic>
          </wp:anchor>
        </w:drawing>
      </w:r>
    </w:p>
    <w:p w14:paraId="42FF4E83">
      <w:pPr>
        <w:keepNext w:val="0"/>
        <w:keepLines w:val="0"/>
        <w:widowControl/>
        <w:suppressLineNumbers w:val="0"/>
        <w:jc w:val="both"/>
        <w:rPr>
          <w:rFonts w:hint="default" w:ascii="Calibri" w:hAnsi="Calibri" w:eastAsia="SimSun"/>
          <w:b w:val="0"/>
          <w:bCs w:val="0"/>
          <w:spacing w:val="0"/>
          <w:kern w:val="0"/>
          <w:sz w:val="24"/>
          <w:szCs w:val="24"/>
          <w:lang w:val="es-CL" w:eastAsia="zh-CN"/>
        </w:rPr>
      </w:pPr>
    </w:p>
    <w:p w14:paraId="0265B186">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16B9197C">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7E361852">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669E1C53">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55C3DA2B">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6550BDA1">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17076A21">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7043EF23">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431AAA13">
      <w:pPr>
        <w:keepNext w:val="0"/>
        <w:keepLines w:val="0"/>
        <w:widowControl/>
        <w:numPr>
          <w:numId w:val="0"/>
        </w:numPr>
        <w:suppressLineNumbers w:val="0"/>
        <w:ind w:leftChars="0"/>
        <w:jc w:val="both"/>
        <w:rPr>
          <w:rFonts w:hint="default" w:ascii="Calibri" w:hAnsi="Calibri" w:eastAsia="SimSun"/>
          <w:b w:val="0"/>
          <w:bCs w:val="0"/>
          <w:spacing w:val="0"/>
          <w:kern w:val="0"/>
          <w:sz w:val="24"/>
          <w:szCs w:val="24"/>
          <w:lang w:val="es-CL" w:eastAsia="zh-CN"/>
        </w:rPr>
      </w:pPr>
    </w:p>
    <w:p w14:paraId="3CD944E7">
      <w:pPr>
        <w:keepNext w:val="0"/>
        <w:keepLines w:val="0"/>
        <w:widowControl/>
        <w:numPr>
          <w:numId w:val="0"/>
        </w:numPr>
        <w:suppressLineNumbers w:val="0"/>
        <w:ind w:leftChars="0"/>
        <w:jc w:val="both"/>
        <w:rPr>
          <w:rFonts w:hint="default" w:ascii="Calibri" w:hAnsi="Calibri" w:eastAsia="SimSun"/>
          <w:b w:val="0"/>
          <w:bCs w:val="0"/>
          <w:spacing w:val="0"/>
          <w:kern w:val="0"/>
          <w:sz w:val="24"/>
          <w:szCs w:val="24"/>
          <w:lang w:val="es-CL" w:eastAsia="zh-CN"/>
        </w:rPr>
      </w:pPr>
    </w:p>
    <w:p w14:paraId="33E448B9">
      <w:pPr>
        <w:keepNext w:val="0"/>
        <w:keepLines w:val="0"/>
        <w:widowControl/>
        <w:numPr>
          <w:numId w:val="0"/>
        </w:numPr>
        <w:suppressLineNumbers w:val="0"/>
        <w:ind w:leftChars="0"/>
        <w:jc w:val="both"/>
        <w:rPr>
          <w:rFonts w:hint="default" w:ascii="Calibri" w:hAnsi="Calibri" w:eastAsia="SimSun"/>
          <w:b w:val="0"/>
          <w:bCs w:val="0"/>
          <w:spacing w:val="0"/>
          <w:kern w:val="0"/>
          <w:sz w:val="24"/>
          <w:szCs w:val="24"/>
          <w:lang w:val="es-CL" w:eastAsia="zh-CN"/>
        </w:rPr>
      </w:pPr>
    </w:p>
    <w:p w14:paraId="19AE70E7">
      <w:pPr>
        <w:keepNext w:val="0"/>
        <w:keepLines w:val="0"/>
        <w:widowControl/>
        <w:numPr>
          <w:numId w:val="0"/>
        </w:numPr>
        <w:suppressLineNumbers w:val="0"/>
        <w:ind w:leftChars="0"/>
        <w:jc w:val="both"/>
        <w:rPr>
          <w:rFonts w:hint="default" w:ascii="Calibri" w:hAnsi="Calibri" w:eastAsia="SimSun"/>
          <w:b w:val="0"/>
          <w:bCs w:val="0"/>
          <w:spacing w:val="0"/>
          <w:kern w:val="0"/>
          <w:sz w:val="24"/>
          <w:szCs w:val="24"/>
          <w:lang w:val="en-US" w:eastAsia="zh-CN"/>
        </w:rPr>
      </w:pPr>
      <w:r>
        <w:rPr>
          <w:rFonts w:hint="default" w:ascii="Calibri" w:hAnsi="Calibri" w:eastAsia="SimSun"/>
          <w:b w:val="0"/>
          <w:bCs w:val="0"/>
          <w:spacing w:val="0"/>
          <w:kern w:val="0"/>
          <w:sz w:val="24"/>
          <w:szCs w:val="24"/>
          <w:lang w:val="es-CL" w:eastAsia="zh-CN"/>
        </w:rPr>
        <w:t xml:space="preserve">2)El caso del </w:t>
      </w:r>
      <w:r>
        <w:rPr>
          <w:rFonts w:hint="default" w:ascii="Calibri" w:hAnsi="Calibri" w:eastAsia="SimSun"/>
          <w:b w:val="0"/>
          <w:bCs w:val="0"/>
          <w:spacing w:val="0"/>
          <w:kern w:val="0"/>
          <w:sz w:val="24"/>
          <w:szCs w:val="24"/>
          <w:lang w:val="en-US" w:eastAsia="zh-CN"/>
        </w:rPr>
        <w:t>MSC Zoe</w:t>
      </w:r>
      <w:r>
        <w:rPr>
          <w:rFonts w:hint="default" w:ascii="Calibri" w:hAnsi="Calibri" w:eastAsia="SimSun"/>
          <w:b w:val="0"/>
          <w:bCs w:val="0"/>
          <w:spacing w:val="0"/>
          <w:kern w:val="0"/>
          <w:sz w:val="24"/>
          <w:szCs w:val="24"/>
          <w:lang w:val="es-CL" w:eastAsia="zh-CN"/>
        </w:rPr>
        <w:t>, donde el mismo:</w:t>
      </w:r>
      <w:r>
        <w:rPr>
          <w:rFonts w:hint="default" w:ascii="Calibri" w:hAnsi="Calibri" w:eastAsia="SimSun"/>
          <w:b w:val="0"/>
          <w:bCs w:val="0"/>
          <w:spacing w:val="0"/>
          <w:kern w:val="0"/>
          <w:sz w:val="24"/>
          <w:szCs w:val="24"/>
          <w:lang w:val="en-US" w:eastAsia="zh-CN"/>
        </w:rPr>
        <w:t xml:space="preserve"> perdió centenares de contenedores en el Mar del Norte durante temporal; gran parte de la carga (incluyendo mercancías peligrosas en algunos casos) cayó al mar y afectó playas.</w:t>
      </w:r>
    </w:p>
    <w:p w14:paraId="7E858968">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-139065</wp:posOffset>
                </wp:positionH>
                <wp:positionV relativeFrom="paragraph">
                  <wp:posOffset>170815</wp:posOffset>
                </wp:positionV>
                <wp:extent cx="2679065" cy="367030"/>
                <wp:effectExtent l="4445" t="4445" r="8890" b="9525"/>
                <wp:wrapNone/>
                <wp:docPr id="4" name="Cuadro de texto 4"/>
                <wp:cNvGraphicFramePr/>
                <a:graphic xmlns:a="http://schemas.openxmlformats.org/drawingml/2006/main">
                  <a:graphicData uri="http://schemas.microsoft.com/office/word/2010/wordprocessingShape">
                    <wps:wsp>
                      <wps:cNvSpPr txBox="1"/>
                      <wps:spPr>
                        <a:xfrm>
                          <a:off x="3028950" y="2178685"/>
                          <a:ext cx="2679065" cy="367030"/>
                        </a:xfrm>
                        <a:prstGeom prst="rect">
                          <a:avLst/>
                        </a:prstGeom>
                        <a:solidFill>
                          <a:srgbClr val="92D050"/>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AAFB360">
                            <w:pPr>
                              <w:rPr>
                                <w:rFonts w:hint="default"/>
                                <w:b/>
                                <w:bCs/>
                                <w:sz w:val="22"/>
                                <w:szCs w:val="22"/>
                                <w:lang w:val="es-CL"/>
                              </w:rPr>
                            </w:pPr>
                            <w:r>
                              <w:rPr>
                                <w:rFonts w:hint="default"/>
                                <w:b/>
                                <w:bCs/>
                                <w:sz w:val="22"/>
                                <w:szCs w:val="22"/>
                                <w:lang w:val="es-CL"/>
                              </w:rPr>
                              <w:t>Imagenes relacionads con el caso anterior.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5pt;margin-top:13.45pt;height:28.9pt;width:210.95pt;z-index:251662336;mso-width-relative:page;mso-height-relative:page;" fillcolor="#92D050" filled="t" stroked="t" coordsize="21600,21600" o:gfxdata="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u&#10;dIPT2QAAAAkBAAAPAAAAAAAAAAEAIAAAACIAAABkcnMvZG93bnJldi54bWxQSwECFAAUAAAACACH&#10;TuJA6uRDBVwCAADJBAAADgAAAAAAAAABACAAAAAoAQAAZHJzL2Uyb0RvYy54bWxQSwUGAAAAAAYA&#10;BgBZAQAA9gUAAAAA&#10;">
                <v:fill on="t" focussize="0,0"/>
                <v:stroke weight="0.5pt" color="#000000 [3204]" joinstyle="round"/>
                <v:imagedata o:title=""/>
                <o:lock v:ext="edit" aspectratio="f"/>
                <v:textbox>
                  <w:txbxContent>
                    <w:p w14:paraId="0AAFB360">
                      <w:pPr>
                        <w:rPr>
                          <w:rFonts w:hint="default"/>
                          <w:b/>
                          <w:bCs/>
                          <w:sz w:val="22"/>
                          <w:szCs w:val="22"/>
                          <w:lang w:val="es-CL"/>
                        </w:rPr>
                      </w:pPr>
                      <w:r>
                        <w:rPr>
                          <w:rFonts w:hint="default"/>
                          <w:b/>
                          <w:bCs/>
                          <w:sz w:val="22"/>
                          <w:szCs w:val="22"/>
                          <w:lang w:val="es-CL"/>
                        </w:rPr>
                        <w:t>Imagenes relacionads con el caso anterior.</w:t>
                      </w:r>
                    </w:p>
                  </w:txbxContent>
                </v:textbox>
              </v:shape>
            </w:pict>
          </mc:Fallback>
        </mc:AlternateContent>
      </w:r>
      <w:r>
        <w:rPr>
          <w:rFonts w:hint="default" w:ascii="Calibri" w:hAnsi="Calibri" w:eastAsia="SimSun"/>
          <w:b w:val="0"/>
          <w:bCs w:val="0"/>
          <w:spacing w:val="0"/>
          <w:kern w:val="0"/>
          <w:sz w:val="24"/>
          <w:szCs w:val="24"/>
          <w:lang w:val="es-CL" w:eastAsia="zh-CN"/>
        </w:rPr>
        <w:drawing>
          <wp:anchor distT="0" distB="0" distL="114300" distR="114300" simplePos="0" relativeHeight="251661312" behindDoc="0" locked="0" layoutInCell="1" allowOverlap="1">
            <wp:simplePos x="0" y="0"/>
            <wp:positionH relativeFrom="column">
              <wp:posOffset>-205105</wp:posOffset>
            </wp:positionH>
            <wp:positionV relativeFrom="paragraph">
              <wp:posOffset>116840</wp:posOffset>
            </wp:positionV>
            <wp:extent cx="5826760" cy="1929130"/>
            <wp:effectExtent l="0" t="0" r="2540" b="1270"/>
            <wp:wrapNone/>
            <wp:docPr id="3" name="Imagen 3" descr="Captura de pantalla 2025-10-09 17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aptura de pantalla 2025-10-09 173514"/>
                    <pic:cNvPicPr>
                      <a:picLocks noChangeAspect="1"/>
                    </pic:cNvPicPr>
                  </pic:nvPicPr>
                  <pic:blipFill>
                    <a:blip r:embed="rId5"/>
                    <a:stretch>
                      <a:fillRect/>
                    </a:stretch>
                  </pic:blipFill>
                  <pic:spPr>
                    <a:xfrm>
                      <a:off x="0" y="0"/>
                      <a:ext cx="5826760" cy="1929130"/>
                    </a:xfrm>
                    <a:prstGeom prst="rect">
                      <a:avLst/>
                    </a:prstGeom>
                  </pic:spPr>
                </pic:pic>
              </a:graphicData>
            </a:graphic>
          </wp:anchor>
        </w:drawing>
      </w:r>
    </w:p>
    <w:p w14:paraId="0A4C65DC">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2D6DC67E">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26846779">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5625EC21">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66DB74DD">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1F46EF1A">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27F0A2F9">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2709EBD9">
      <w:pPr>
        <w:keepNext w:val="0"/>
        <w:keepLines w:val="0"/>
        <w:widowControl/>
        <w:numPr>
          <w:numId w:val="0"/>
        </w:numPr>
        <w:suppressLineNumbers w:val="0"/>
        <w:jc w:val="both"/>
        <w:rPr>
          <w:rFonts w:hint="default" w:ascii="Calibri" w:hAnsi="Calibri" w:eastAsia="SimSun"/>
          <w:b w:val="0"/>
          <w:bCs w:val="0"/>
          <w:spacing w:val="0"/>
          <w:kern w:val="0"/>
          <w:sz w:val="24"/>
          <w:szCs w:val="24"/>
          <w:lang w:val="en-US" w:eastAsia="zh-CN"/>
        </w:rPr>
      </w:pPr>
    </w:p>
    <w:p w14:paraId="12151A4F">
      <w:pPr>
        <w:keepNext w:val="0"/>
        <w:keepLines w:val="0"/>
        <w:widowControl/>
        <w:suppressLineNumbers w:val="0"/>
        <w:jc w:val="both"/>
        <w:rPr>
          <w:rFonts w:hint="default" w:ascii="Calibri" w:hAnsi="Calibri" w:eastAsia="SimSun"/>
          <w:b w:val="0"/>
          <w:bCs w:val="0"/>
          <w:spacing w:val="0"/>
          <w:kern w:val="0"/>
          <w:sz w:val="24"/>
          <w:szCs w:val="24"/>
          <w:lang w:val="es-CL" w:eastAsia="zh-CN"/>
        </w:rPr>
      </w:pPr>
    </w:p>
    <w:p w14:paraId="177FE24D">
      <w:pPr>
        <w:keepNext w:val="0"/>
        <w:keepLines w:val="0"/>
        <w:widowControl/>
        <w:suppressLineNumbers w:val="0"/>
        <w:jc w:val="both"/>
        <w:rPr>
          <w:rFonts w:hint="default" w:ascii="Calibri" w:hAnsi="Calibri" w:eastAsia="SimSun"/>
          <w:b w:val="0"/>
          <w:bCs w:val="0"/>
          <w:spacing w:val="0"/>
          <w:kern w:val="0"/>
          <w:sz w:val="24"/>
          <w:szCs w:val="24"/>
          <w:lang w:val="es-CL" w:eastAsia="zh-CN"/>
        </w:rPr>
      </w:pPr>
    </w:p>
    <w:p w14:paraId="00C77E96">
      <w:pPr>
        <w:keepNext w:val="0"/>
        <w:keepLines w:val="0"/>
        <w:widowControl/>
        <w:suppressLineNumbers w:val="0"/>
        <w:jc w:val="both"/>
        <w:rPr>
          <w:rFonts w:hint="default" w:ascii="Calibri" w:hAnsi="Calibri" w:eastAsia="SimSun"/>
          <w:b w:val="0"/>
          <w:bCs w:val="0"/>
          <w:spacing w:val="0"/>
          <w:kern w:val="0"/>
          <w:sz w:val="24"/>
          <w:szCs w:val="24"/>
          <w:lang w:val="es-CL" w:eastAsia="zh-CN"/>
        </w:rPr>
      </w:pPr>
    </w:p>
    <w:p w14:paraId="55336625">
      <w:pPr>
        <w:keepNext w:val="0"/>
        <w:keepLines w:val="0"/>
        <w:widowControl/>
        <w:suppressLineNumbers w:val="0"/>
        <w:jc w:val="both"/>
        <w:rPr>
          <w:rFonts w:hint="default" w:ascii="Calibri" w:hAnsi="Calibri" w:eastAsia="SimSun"/>
          <w:b w:val="0"/>
          <w:bCs w:val="0"/>
          <w:spacing w:val="0"/>
          <w:kern w:val="0"/>
          <w:sz w:val="24"/>
          <w:szCs w:val="24"/>
          <w:lang w:val="en-US" w:eastAsia="zh-CN"/>
        </w:rPr>
      </w:pPr>
      <w:r>
        <w:rPr>
          <w:rFonts w:hint="default" w:ascii="Calibri" w:hAnsi="Calibri" w:eastAsia="SimSun"/>
          <w:b w:val="0"/>
          <w:bCs w:val="0"/>
          <w:spacing w:val="0"/>
          <w:kern w:val="0"/>
          <w:sz w:val="24"/>
          <w:szCs w:val="24"/>
          <w:lang w:val="es-CL" w:eastAsia="zh-CN"/>
        </w:rPr>
        <w:t>El caso de</w:t>
      </w:r>
      <w:r>
        <w:rPr>
          <w:rFonts w:hint="default" w:ascii="Calibri" w:hAnsi="Calibri" w:eastAsia="SimSun"/>
          <w:b w:val="0"/>
          <w:bCs w:val="0"/>
          <w:spacing w:val="0"/>
          <w:kern w:val="0"/>
          <w:sz w:val="24"/>
          <w:szCs w:val="24"/>
          <w:lang w:val="en-US" w:eastAsia="zh-CN"/>
        </w:rPr>
        <w:t xml:space="preserve"> Maersk Honam</w:t>
      </w:r>
      <w:r>
        <w:rPr>
          <w:rFonts w:hint="default" w:ascii="Calibri" w:hAnsi="Calibri" w:eastAsia="SimSun"/>
          <w:b w:val="0"/>
          <w:bCs w:val="0"/>
          <w:spacing w:val="0"/>
          <w:kern w:val="0"/>
          <w:sz w:val="24"/>
          <w:szCs w:val="24"/>
          <w:lang w:val="es-CL" w:eastAsia="zh-CN"/>
        </w:rPr>
        <w:t>, donde: se</w:t>
      </w:r>
      <w:r>
        <w:rPr>
          <w:rFonts w:hint="default" w:ascii="Calibri" w:hAnsi="Calibri" w:eastAsia="SimSun"/>
          <w:b w:val="0"/>
          <w:bCs w:val="0"/>
          <w:spacing w:val="0"/>
          <w:kern w:val="0"/>
          <w:sz w:val="24"/>
          <w:szCs w:val="24"/>
          <w:lang w:val="en-US" w:eastAsia="zh-CN"/>
        </w:rPr>
        <w:t xml:space="preserve"> incendio en la bodega a bordo del Maersk Honam mientras transitaba del sureste asiático hacia Suez; produjo fallecidos y desapariciones de tripulantes; el fuego llevó a evacuaciones y remolque. Hay galería de fotos y reportes de investigaciones. El accidente mostró riesgos de carga mal declarada/establecida y de incendios en contenedores cargados con productos peligrosos.</w:t>
      </w:r>
    </w:p>
    <w:p w14:paraId="10E03153">
      <w:pPr>
        <w:keepNext w:val="0"/>
        <w:keepLines w:val="0"/>
        <w:widowControl/>
        <w:suppressLineNumbers w:val="0"/>
        <w:jc w:val="both"/>
        <w:rPr>
          <w:rFonts w:hint="default" w:ascii="Calibri" w:hAnsi="Calibri" w:eastAsia="SimSun"/>
          <w:b w:val="0"/>
          <w:bCs w:val="0"/>
          <w:spacing w:val="0"/>
          <w:kern w:val="0"/>
          <w:sz w:val="24"/>
          <w:szCs w:val="24"/>
          <w:lang w:val="en-US" w:eastAsia="zh-CN"/>
        </w:rPr>
      </w:pPr>
      <w:r>
        <w:rPr>
          <w:rFonts w:hint="default" w:ascii="Calibri" w:hAnsi="Calibri" w:eastAsia="SimSun"/>
          <w:b w:val="0"/>
          <w:bCs w:val="0"/>
          <w:spacing w:val="0"/>
          <w:kern w:val="0"/>
          <w:sz w:val="24"/>
          <w:szCs w:val="24"/>
          <w:lang w:val="es-CL" w:eastAsia="zh-CN"/>
        </w:rPr>
        <w:drawing>
          <wp:anchor distT="0" distB="0" distL="114300" distR="114300" simplePos="0" relativeHeight="251663360" behindDoc="0" locked="0" layoutInCell="1" allowOverlap="1">
            <wp:simplePos x="0" y="0"/>
            <wp:positionH relativeFrom="column">
              <wp:posOffset>-226695</wp:posOffset>
            </wp:positionH>
            <wp:positionV relativeFrom="paragraph">
              <wp:posOffset>109220</wp:posOffset>
            </wp:positionV>
            <wp:extent cx="5878195" cy="1878965"/>
            <wp:effectExtent l="0" t="0" r="1905" b="635"/>
            <wp:wrapNone/>
            <wp:docPr id="5" name="Imagen 5" descr="Captura de pantalla 2025-10-09 17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Captura de pantalla 2025-10-09 173905"/>
                    <pic:cNvPicPr>
                      <a:picLocks noChangeAspect="1"/>
                    </pic:cNvPicPr>
                  </pic:nvPicPr>
                  <pic:blipFill>
                    <a:blip r:embed="rId6"/>
                    <a:stretch>
                      <a:fillRect/>
                    </a:stretch>
                  </pic:blipFill>
                  <pic:spPr>
                    <a:xfrm>
                      <a:off x="0" y="0"/>
                      <a:ext cx="5878195" cy="1878965"/>
                    </a:xfrm>
                    <a:prstGeom prst="rect">
                      <a:avLst/>
                    </a:prstGeom>
                  </pic:spPr>
                </pic:pic>
              </a:graphicData>
            </a:graphic>
          </wp:anchor>
        </w:drawing>
      </w:r>
    </w:p>
    <w:p w14:paraId="5E2E5FF4">
      <w:pPr>
        <w:keepNext w:val="0"/>
        <w:keepLines w:val="0"/>
        <w:widowControl/>
        <w:suppressLineNumbers w:val="0"/>
        <w:jc w:val="both"/>
        <w:rPr>
          <w:rFonts w:hint="default" w:ascii="Calibri" w:hAnsi="Calibri" w:eastAsia="SimSun"/>
          <w:b w:val="0"/>
          <w:bCs w:val="0"/>
          <w:spacing w:val="0"/>
          <w:kern w:val="0"/>
          <w:sz w:val="24"/>
          <w:szCs w:val="24"/>
          <w:lang w:val="en-US" w:eastAsia="zh-CN"/>
        </w:rPr>
      </w:pPr>
      <w:r>
        <w:rPr>
          <w:sz w:val="24"/>
        </w:rPr>
        <mc:AlternateContent>
          <mc:Choice Requires="wps">
            <w:drawing>
              <wp:anchor distT="0" distB="0" distL="114300" distR="114300" simplePos="0" relativeHeight="251664384" behindDoc="0" locked="0" layoutInCell="1" allowOverlap="1">
                <wp:simplePos x="0" y="0"/>
                <wp:positionH relativeFrom="column">
                  <wp:posOffset>-180340</wp:posOffset>
                </wp:positionH>
                <wp:positionV relativeFrom="paragraph">
                  <wp:posOffset>12065</wp:posOffset>
                </wp:positionV>
                <wp:extent cx="2827020" cy="406400"/>
                <wp:effectExtent l="4445" t="4445" r="13335" b="8255"/>
                <wp:wrapNone/>
                <wp:docPr id="6" name="Cuadro de texto 6"/>
                <wp:cNvGraphicFramePr/>
                <a:graphic xmlns:a="http://schemas.openxmlformats.org/drawingml/2006/main">
                  <a:graphicData uri="http://schemas.microsoft.com/office/word/2010/wordprocessingShape">
                    <wps:wsp>
                      <wps:cNvSpPr txBox="1"/>
                      <wps:spPr>
                        <a:xfrm>
                          <a:off x="3014980" y="5590540"/>
                          <a:ext cx="2827020" cy="406400"/>
                        </a:xfrm>
                        <a:prstGeom prst="rect">
                          <a:avLst/>
                        </a:prstGeom>
                        <a:solidFill>
                          <a:srgbClr val="92D050"/>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C7A9F8D">
                            <w:pPr>
                              <w:rPr>
                                <w:rFonts w:hint="default"/>
                                <w:b/>
                                <w:bCs/>
                                <w:sz w:val="24"/>
                                <w:szCs w:val="24"/>
                                <w:lang w:val="es-CL"/>
                              </w:rPr>
                            </w:pPr>
                            <w:r>
                              <w:rPr>
                                <w:rFonts w:hint="default"/>
                                <w:b/>
                                <w:bCs/>
                                <w:sz w:val="24"/>
                                <w:szCs w:val="24"/>
                                <w:lang w:val="es-CL"/>
                              </w:rPr>
                              <w:t>Imagen relacionada con el caso anterior: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2pt;margin-top:0.95pt;height:32pt;width:222.6pt;z-index:251664384;mso-width-relative:page;mso-height-relative:page;" fillcolor="#92D050" filled="t" stroked="t" coordsize="21600,21600" o:gfxdata="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F6G+fX&#10;AAAACAEAAA8AAAAAAAAAAQAgAAAAIgAAAGRycy9kb3ducmV2LnhtbFBLAQIUABQAAAAIAIdO4kCh&#10;bmYxWgIAAMkEAAAOAAAAAAAAAAEAIAAAACYBAABkcnMvZTJvRG9jLnhtbFBLBQYAAAAABgAGAFkB&#10;AADyBQAAAAA=&#10;">
                <v:fill on="t" focussize="0,0"/>
                <v:stroke weight="0.5pt" color="#000000 [3204]" joinstyle="round"/>
                <v:imagedata o:title=""/>
                <o:lock v:ext="edit" aspectratio="f"/>
                <v:textbox>
                  <w:txbxContent>
                    <w:p w14:paraId="3C7A9F8D">
                      <w:pPr>
                        <w:rPr>
                          <w:rFonts w:hint="default"/>
                          <w:b/>
                          <w:bCs/>
                          <w:sz w:val="24"/>
                          <w:szCs w:val="24"/>
                          <w:lang w:val="es-CL"/>
                        </w:rPr>
                      </w:pPr>
                      <w:r>
                        <w:rPr>
                          <w:rFonts w:hint="default"/>
                          <w:b/>
                          <w:bCs/>
                          <w:sz w:val="24"/>
                          <w:szCs w:val="24"/>
                          <w:lang w:val="es-CL"/>
                        </w:rPr>
                        <w:t>Imagen relacionada con el caso anterior:</w:t>
                      </w:r>
                    </w:p>
                  </w:txbxContent>
                </v:textbox>
              </v:shape>
            </w:pict>
          </mc:Fallback>
        </mc:AlternateContent>
      </w:r>
    </w:p>
    <w:p w14:paraId="34C70F47">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45177E94">
      <w:pPr>
        <w:keepNext w:val="0"/>
        <w:keepLines w:val="0"/>
        <w:widowControl/>
        <w:suppressLineNumbers w:val="0"/>
        <w:jc w:val="both"/>
        <w:rPr>
          <w:rFonts w:hint="default" w:ascii="Calibri" w:hAnsi="Calibri" w:eastAsia="SimSun"/>
          <w:b w:val="0"/>
          <w:bCs w:val="0"/>
          <w:spacing w:val="0"/>
          <w:kern w:val="0"/>
          <w:sz w:val="24"/>
          <w:szCs w:val="24"/>
          <w:lang w:val="en-US" w:eastAsia="zh-CN"/>
        </w:rPr>
      </w:pPr>
    </w:p>
    <w:p w14:paraId="76FBB59C">
      <w:pPr>
        <w:keepNext w:val="0"/>
        <w:keepLines w:val="0"/>
        <w:widowControl/>
        <w:suppressLineNumbers w:val="0"/>
        <w:jc w:val="both"/>
        <w:rPr>
          <w:rFonts w:hint="default" w:ascii="Calibri" w:hAnsi="Calibri" w:eastAsia="SimSun" w:cs="Calibri"/>
          <w:b w:val="0"/>
          <w:bCs w:val="0"/>
          <w:spacing w:val="0"/>
          <w:kern w:val="0"/>
          <w:sz w:val="24"/>
          <w:szCs w:val="24"/>
          <w:lang w:val="es-CL" w:eastAsia="zh-CN" w:bidi="ar"/>
        </w:rPr>
      </w:pPr>
    </w:p>
    <w:p w14:paraId="658DB221">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s-CL" w:eastAsia="zh-CN" w:bidi="ar"/>
        </w:rPr>
        <w:t>Finalmente mi a</w:t>
      </w:r>
      <w:r>
        <w:rPr>
          <w:rFonts w:hint="default" w:ascii="Calibri" w:hAnsi="Calibri" w:eastAsia="SimSun" w:cs="Calibri"/>
          <w:b w:val="0"/>
          <w:bCs w:val="0"/>
          <w:spacing w:val="0"/>
          <w:kern w:val="0"/>
          <w:sz w:val="24"/>
          <w:szCs w:val="24"/>
          <w:lang w:val="en-US" w:eastAsia="zh-CN" w:bidi="ar"/>
        </w:rPr>
        <w:t xml:space="preserve">preciación </w:t>
      </w:r>
      <w:r>
        <w:rPr>
          <w:rFonts w:hint="default" w:ascii="Calibri" w:hAnsi="Calibri" w:eastAsia="SimSun" w:cs="Calibri"/>
          <w:b w:val="0"/>
          <w:bCs w:val="0"/>
          <w:spacing w:val="0"/>
          <w:kern w:val="0"/>
          <w:sz w:val="24"/>
          <w:szCs w:val="24"/>
          <w:lang w:val="es-CL" w:eastAsia="zh-CN" w:bidi="ar"/>
        </w:rPr>
        <w:t>respecto</w:t>
      </w:r>
      <w:r>
        <w:rPr>
          <w:rFonts w:hint="default" w:ascii="Calibri" w:hAnsi="Calibri" w:eastAsia="SimSun" w:cs="Calibri"/>
          <w:b w:val="0"/>
          <w:bCs w:val="0"/>
          <w:spacing w:val="0"/>
          <w:kern w:val="0"/>
          <w:sz w:val="24"/>
          <w:szCs w:val="24"/>
          <w:lang w:val="en-US" w:eastAsia="zh-CN" w:bidi="ar"/>
        </w:rPr>
        <w:t xml:space="preserve"> la Evolución Futura de los Contenedores en el Transporte Marítimo</w:t>
      </w:r>
      <w:r>
        <w:rPr>
          <w:rFonts w:hint="default" w:ascii="Calibri" w:hAnsi="Calibri" w:eastAsia="SimSun" w:cs="Calibri"/>
          <w:b w:val="0"/>
          <w:bCs w:val="0"/>
          <w:spacing w:val="0"/>
          <w:kern w:val="0"/>
          <w:sz w:val="24"/>
          <w:szCs w:val="24"/>
          <w:lang w:val="es-CL" w:eastAsia="zh-CN" w:bidi="ar"/>
        </w:rPr>
        <w:t xml:space="preserve"> es que dada </w:t>
      </w:r>
      <w:r>
        <w:rPr>
          <w:rFonts w:hint="default" w:ascii="Calibri" w:hAnsi="Calibri" w:eastAsia="SimSun" w:cs="Calibri"/>
          <w:b w:val="0"/>
          <w:bCs w:val="0"/>
          <w:spacing w:val="0"/>
          <w:kern w:val="0"/>
          <w:sz w:val="24"/>
          <w:szCs w:val="24"/>
          <w:lang w:val="en-US" w:eastAsia="zh-CN" w:bidi="ar"/>
        </w:rPr>
        <w:t>la eficiencia buscada por la industria y los métodos de operación actuales de los buques más pequeños, se puede inferir una tendencia clara:</w:t>
      </w:r>
    </w:p>
    <w:p w14:paraId="11FEEC9B">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La evolución futura del transporte marítimo de contenedores continuará enfocándose en la eficiencia a gran escala y la automatización del proceso de estiba y trincaje.</w:t>
      </w:r>
    </w:p>
    <w:p w14:paraId="1745325B">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1. Predominio de Buques Megacontenedores: La tendencia a construir buques portacontenedores cada vez más grandes (como los ejemplos de Maersk y MSC) persistirá. El tamaño permite economías de escala que son esenciales para el comercio internacional.</w:t>
      </w:r>
    </w:p>
    <w:p w14:paraId="67D7E266">
      <w:pPr>
        <w:keepNext w:val="0"/>
        <w:keepLines w:val="0"/>
        <w:widowControl/>
        <w:suppressLineNumbers w:val="0"/>
        <w:jc w:val="both"/>
        <w:rPr>
          <w:rFonts w:hint="default" w:ascii="Calibri" w:hAnsi="Calibri" w:cs="Calibri"/>
          <w:b w:val="0"/>
          <w:bCs w:val="0"/>
          <w:spacing w:val="0"/>
          <w:sz w:val="24"/>
          <w:szCs w:val="24"/>
        </w:rPr>
      </w:pPr>
      <w:r>
        <w:rPr>
          <w:rFonts w:hint="default" w:ascii="Calibri" w:hAnsi="Calibri" w:eastAsia="SimSun" w:cs="Calibri"/>
          <w:b w:val="0"/>
          <w:bCs w:val="0"/>
          <w:spacing w:val="0"/>
          <w:kern w:val="0"/>
          <w:sz w:val="24"/>
          <w:szCs w:val="24"/>
          <w:lang w:val="en-US" w:eastAsia="zh-CN" w:bidi="ar"/>
        </w:rPr>
        <w:t>2. Universalización de los Sistemas Celulares: Aunque buques como el Veronica B aún utilizan estiba manual en cubierta sin guías celulares (lo cual complica las tareas), la presión por reducir los tiempos de operación en puerto (el objetivo de los buques mercantes es la rapidez y eficiencia) llevará a la expansión del uso de guías celulares o sistemas de trincaje automático avanzado en todas las áreas de estiba, incluidas las cubiertas, para minimizar la intervención humana y aumentar la velocidad de la carga/descarga.</w:t>
      </w:r>
    </w:p>
    <w:p w14:paraId="1FA2B595">
      <w:pPr>
        <w:keepNext w:val="0"/>
        <w:keepLines w:val="0"/>
        <w:widowControl/>
        <w:suppressLineNumbers w:val="0"/>
        <w:jc w:val="both"/>
        <w:rPr>
          <w:spacing w:val="0"/>
        </w:rPr>
      </w:pPr>
      <w:r>
        <w:rPr>
          <w:rFonts w:hint="default" w:ascii="Calibri" w:hAnsi="Calibri" w:eastAsia="SimSun" w:cs="Calibri"/>
          <w:b w:val="0"/>
          <w:bCs w:val="0"/>
          <w:spacing w:val="0"/>
          <w:kern w:val="0"/>
          <w:sz w:val="24"/>
          <w:szCs w:val="24"/>
          <w:lang w:val="en-US" w:eastAsia="zh-CN" w:bidi="ar"/>
        </w:rPr>
        <w:t>3. Mayor Enfoque en la Carga Especializada y la Seguridad: Dada la alta dependencia del transporte de mercancías peligrosas (IMO) y refrigeradas (Reefers), la innovación se dirigirá a mejorar los sistemas de segregación automatizada (para incompatibilidades de mercancías peligrosas) y la infraestructura eléctrica y de monitoreo para asegurar las condiciones de los contenedores refrigerados durante travesías más largas.</w:t>
      </w:r>
    </w:p>
    <w:p w14:paraId="1751CCC5"/>
    <w:p w14:paraId="62CE4E1C"/>
    <w:p w14:paraId="149F7034"/>
    <w:p w14:paraId="1129C809"/>
    <w:p w14:paraId="6C1F10ED"/>
    <w:p w14:paraId="3C5CBE2A"/>
    <w:p w14:paraId="4E65AA00"/>
    <w:p w14:paraId="4D23DE7F"/>
    <w:p w14:paraId="6D839EDB"/>
    <w:p w14:paraId="6D811681"/>
    <w:p w14:paraId="2CC3F484"/>
    <w:p w14:paraId="5C7EFA10"/>
    <w:p w14:paraId="28BE298A"/>
    <w:p w14:paraId="353EC157"/>
    <w:p w14:paraId="1B5B2A9E"/>
    <w:p w14:paraId="75ECF000"/>
    <w:p w14:paraId="4551BE1F"/>
    <w:p w14:paraId="70C08167"/>
    <w:p w14:paraId="321D2586"/>
    <w:p w14:paraId="3CA9F501"/>
    <w:p w14:paraId="1F75D6DF"/>
    <w:p w14:paraId="3B985050"/>
    <w:p w14:paraId="7F06126B"/>
    <w:p w14:paraId="69708AE5"/>
    <w:p w14:paraId="7772E47A"/>
    <w:p w14:paraId="02147D15"/>
    <w:p w14:paraId="0B4FD6EB"/>
    <w:p w14:paraId="014A19C3"/>
    <w:p w14:paraId="5E616A0C">
      <w:pPr>
        <w:ind w:firstLine="723" w:firstLineChars="300"/>
        <w:jc w:val="both"/>
        <w:rPr>
          <w:rFonts w:hint="default" w:ascii="Calibri" w:hAnsi="Calibri" w:cs="Calibri"/>
          <w:b/>
          <w:bCs/>
        </w:rPr>
      </w:pPr>
      <w:r>
        <w:rPr>
          <w:rFonts w:hint="default"/>
          <w:b/>
          <w:bCs/>
          <w:sz w:val="24"/>
          <w:szCs w:val="24"/>
          <w:lang w:val="es-CL"/>
        </w:rPr>
        <w:t xml:space="preserve">Referencias bibliograficas: </w:t>
      </w:r>
    </w:p>
    <w:p w14:paraId="12A682E8">
      <w:pPr>
        <w:pStyle w:val="7"/>
        <w:keepNext w:val="0"/>
        <w:keepLines w:val="0"/>
        <w:widowControl/>
        <w:suppressLineNumbers w:val="0"/>
        <w:ind w:left="720"/>
        <w:jc w:val="both"/>
        <w:rPr>
          <w:rFonts w:hint="default" w:ascii="Calibri" w:hAnsi="Calibri" w:cs="Calibri"/>
          <w:b w:val="0"/>
          <w:bCs w:val="0"/>
          <w:i/>
          <w:iCs/>
        </w:rPr>
      </w:pPr>
      <w:r>
        <w:rPr>
          <w:rFonts w:hint="default" w:ascii="Calibri" w:hAnsi="Calibri" w:cs="Calibri"/>
          <w:b w:val="0"/>
          <w:bCs w:val="0"/>
          <w:i/>
          <w:iCs/>
          <w:lang w:val="es-CL"/>
        </w:rPr>
        <w:t xml:space="preserve">Pdf </w:t>
      </w:r>
      <w:r>
        <w:rPr>
          <w:rFonts w:hint="default" w:ascii="Calibri" w:hAnsi="Calibri" w:cs="Calibri"/>
          <w:b w:val="0"/>
          <w:bCs w:val="0"/>
          <w:i/>
          <w:iCs/>
        </w:rPr>
        <w:t xml:space="preserve">Fernández Ramos, Marlene — </w:t>
      </w:r>
      <w:r>
        <w:rPr>
          <w:rStyle w:val="4"/>
          <w:rFonts w:hint="default" w:ascii="Calibri" w:hAnsi="Calibri" w:cs="Calibri"/>
          <w:b w:val="0"/>
          <w:bCs w:val="0"/>
          <w:i/>
          <w:iCs/>
        </w:rPr>
        <w:t>Estiba y trincaje del buque portacontenedores Veronica B</w:t>
      </w:r>
      <w:r>
        <w:rPr>
          <w:rFonts w:hint="default" w:ascii="Calibri" w:hAnsi="Calibri" w:cs="Calibri"/>
          <w:b w:val="0"/>
          <w:bCs w:val="0"/>
          <w:i/>
          <w:iCs/>
        </w:rPr>
        <w:t xml:space="preserve"> (TFG). Contiene: tipología de contenedores, identificación, planos de estiba, elementos de trincaje (twistlocks, tensores, barras), capacidad de reefers, etc.</w:t>
      </w:r>
    </w:p>
    <w:p w14:paraId="27567AC5">
      <w:pPr>
        <w:pStyle w:val="7"/>
        <w:keepNext w:val="0"/>
        <w:keepLines w:val="0"/>
        <w:widowControl/>
        <w:suppressLineNumbers w:val="0"/>
        <w:ind w:left="720"/>
        <w:jc w:val="both"/>
        <w:rPr>
          <w:rFonts w:hint="default" w:ascii="Calibri" w:hAnsi="Calibri" w:cs="Calibri"/>
          <w:b w:val="0"/>
          <w:bCs w:val="0"/>
          <w:i/>
          <w:iCs/>
        </w:rPr>
      </w:pPr>
      <w:r>
        <w:rPr>
          <w:rFonts w:hint="default" w:ascii="Calibri" w:hAnsi="Calibri" w:cs="Calibri"/>
          <w:b w:val="0"/>
          <w:bCs w:val="0"/>
          <w:i/>
          <w:iCs/>
        </w:rPr>
        <w:t xml:space="preserve">Malcolm McLean — resumen histórico y datos sobre el </w:t>
      </w:r>
      <w:r>
        <w:rPr>
          <w:rStyle w:val="4"/>
          <w:rFonts w:hint="default" w:ascii="Calibri" w:hAnsi="Calibri" w:cs="Calibri"/>
          <w:b w:val="0"/>
          <w:bCs w:val="0"/>
          <w:i/>
          <w:iCs/>
        </w:rPr>
        <w:t>Ideal-X</w:t>
      </w:r>
      <w:r>
        <w:rPr>
          <w:rFonts w:hint="default" w:ascii="Calibri" w:hAnsi="Calibri" w:cs="Calibri"/>
          <w:b w:val="0"/>
          <w:bCs w:val="0"/>
          <w:i/>
          <w:iCs/>
        </w:rPr>
        <w:t xml:space="preserve"> (nacimiento de la containerización). </w:t>
      </w:r>
      <w:r>
        <w:rPr>
          <w:rFonts w:hint="default" w:ascii="Calibri" w:hAnsi="Calibri" w:cs="Calibri"/>
          <w:b w:val="0"/>
          <w:bCs w:val="0"/>
          <w:i/>
          <w:iCs/>
        </w:rPr>
        <w:fldChar w:fldCharType="begin"/>
      </w:r>
      <w:r>
        <w:rPr>
          <w:rFonts w:hint="default" w:ascii="Calibri" w:hAnsi="Calibri" w:cs="Calibri"/>
          <w:b w:val="0"/>
          <w:bCs w:val="0"/>
          <w:i/>
          <w:iCs/>
        </w:rPr>
        <w:instrText xml:space="preserve"> HYPERLINK "https://en.wikipedia.org/wiki/Malcom_McLean?utm_source=chatgpt.com" \t "_blank" </w:instrText>
      </w:r>
      <w:r>
        <w:rPr>
          <w:rFonts w:hint="default" w:ascii="Calibri" w:hAnsi="Calibri" w:cs="Calibri"/>
          <w:b w:val="0"/>
          <w:bCs w:val="0"/>
          <w:i/>
          <w:iCs/>
        </w:rPr>
        <w:fldChar w:fldCharType="separate"/>
      </w:r>
      <w:r>
        <w:rPr>
          <w:rStyle w:val="5"/>
          <w:rFonts w:hint="default" w:ascii="Calibri" w:hAnsi="Calibri" w:cs="Calibri"/>
          <w:b w:val="0"/>
          <w:bCs w:val="0"/>
          <w:i/>
          <w:iCs/>
        </w:rPr>
        <w:t>Wikipedia+1</w:t>
      </w:r>
      <w:r>
        <w:rPr>
          <w:rFonts w:hint="default" w:ascii="Calibri" w:hAnsi="Calibri" w:cs="Calibri"/>
          <w:b w:val="0"/>
          <w:bCs w:val="0"/>
          <w:i/>
          <w:iCs/>
        </w:rPr>
        <w:fldChar w:fldCharType="end"/>
      </w:r>
    </w:p>
    <w:p w14:paraId="05A555FA">
      <w:pPr>
        <w:pStyle w:val="7"/>
        <w:keepNext w:val="0"/>
        <w:keepLines w:val="0"/>
        <w:widowControl/>
        <w:suppressLineNumbers w:val="0"/>
        <w:ind w:left="720"/>
        <w:jc w:val="both"/>
        <w:rPr>
          <w:rFonts w:hint="default" w:ascii="Calibri" w:hAnsi="Calibri" w:cs="Calibri"/>
          <w:b w:val="0"/>
          <w:bCs w:val="0"/>
          <w:i/>
          <w:iCs/>
        </w:rPr>
      </w:pPr>
      <w:r>
        <w:rPr>
          <w:rFonts w:hint="default" w:ascii="Calibri" w:hAnsi="Calibri" w:cs="Calibri"/>
          <w:b w:val="0"/>
          <w:bCs w:val="0"/>
          <w:i/>
          <w:iCs/>
        </w:rPr>
        <w:t xml:space="preserve">ONE Apus (incidente Nov 2020; reportes y JTSB). </w:t>
      </w:r>
      <w:r>
        <w:rPr>
          <w:rFonts w:hint="default" w:ascii="Calibri" w:hAnsi="Calibri" w:cs="Calibri"/>
          <w:b w:val="0"/>
          <w:bCs w:val="0"/>
          <w:i/>
          <w:iCs/>
        </w:rPr>
        <w:fldChar w:fldCharType="begin"/>
      </w:r>
      <w:r>
        <w:rPr>
          <w:rFonts w:hint="default" w:ascii="Calibri" w:hAnsi="Calibri" w:cs="Calibri"/>
          <w:b w:val="0"/>
          <w:bCs w:val="0"/>
          <w:i/>
          <w:iCs/>
        </w:rPr>
        <w:instrText xml:space="preserve"> HYPERLINK "https://en.wikipedia.org/wiki/ONE_Apus?utm_source=chatgpt.com" \t "_blank" </w:instrText>
      </w:r>
      <w:r>
        <w:rPr>
          <w:rFonts w:hint="default" w:ascii="Calibri" w:hAnsi="Calibri" w:cs="Calibri"/>
          <w:b w:val="0"/>
          <w:bCs w:val="0"/>
          <w:i/>
          <w:iCs/>
        </w:rPr>
        <w:fldChar w:fldCharType="separate"/>
      </w:r>
      <w:r>
        <w:rPr>
          <w:rStyle w:val="5"/>
          <w:rFonts w:hint="default" w:ascii="Calibri" w:hAnsi="Calibri" w:cs="Calibri"/>
          <w:b w:val="0"/>
          <w:bCs w:val="0"/>
          <w:i/>
          <w:iCs/>
        </w:rPr>
        <w:t>Wikipedia+1</w:t>
      </w:r>
      <w:r>
        <w:rPr>
          <w:rFonts w:hint="default" w:ascii="Calibri" w:hAnsi="Calibri" w:cs="Calibri"/>
          <w:b w:val="0"/>
          <w:bCs w:val="0"/>
          <w:i/>
          <w:iCs/>
        </w:rPr>
        <w:fldChar w:fldCharType="end"/>
      </w:r>
    </w:p>
    <w:p w14:paraId="7B496DEB">
      <w:pPr>
        <w:pStyle w:val="7"/>
        <w:keepNext w:val="0"/>
        <w:keepLines w:val="0"/>
        <w:widowControl/>
        <w:suppressLineNumbers w:val="0"/>
        <w:ind w:left="720"/>
        <w:jc w:val="both"/>
        <w:rPr>
          <w:rFonts w:hint="default" w:ascii="Calibri" w:hAnsi="Calibri" w:cs="Calibri"/>
          <w:b w:val="0"/>
          <w:bCs w:val="0"/>
          <w:i/>
          <w:iCs/>
        </w:rPr>
      </w:pPr>
      <w:r>
        <w:rPr>
          <w:rFonts w:hint="default" w:ascii="Calibri" w:hAnsi="Calibri" w:cs="Calibri"/>
          <w:b w:val="0"/>
          <w:bCs w:val="0"/>
          <w:i/>
          <w:iCs/>
        </w:rPr>
        <w:t xml:space="preserve">MSC Zoe — pérdida de contenedores en Mar del Norte (2019). </w:t>
      </w:r>
      <w:r>
        <w:rPr>
          <w:rFonts w:hint="default" w:ascii="Calibri" w:hAnsi="Calibri" w:cs="Calibri"/>
          <w:b w:val="0"/>
          <w:bCs w:val="0"/>
          <w:i/>
          <w:iCs/>
        </w:rPr>
        <w:fldChar w:fldCharType="begin"/>
      </w:r>
      <w:r>
        <w:rPr>
          <w:rFonts w:hint="default" w:ascii="Calibri" w:hAnsi="Calibri" w:cs="Calibri"/>
          <w:b w:val="0"/>
          <w:bCs w:val="0"/>
          <w:i/>
          <w:iCs/>
        </w:rPr>
        <w:instrText xml:space="preserve"> HYPERLINK "https://wwz.cedre.fr/en/Resources/Spills/Spills/MSC-Zoe?utm_source=chatgpt.com" \t "_blank" </w:instrText>
      </w:r>
      <w:r>
        <w:rPr>
          <w:rFonts w:hint="default" w:ascii="Calibri" w:hAnsi="Calibri" w:cs="Calibri"/>
          <w:b w:val="0"/>
          <w:bCs w:val="0"/>
          <w:i/>
          <w:iCs/>
        </w:rPr>
        <w:fldChar w:fldCharType="separate"/>
      </w:r>
      <w:r>
        <w:rPr>
          <w:rStyle w:val="5"/>
          <w:rFonts w:hint="default" w:ascii="Calibri" w:hAnsi="Calibri" w:cs="Calibri"/>
          <w:b w:val="0"/>
          <w:bCs w:val="0"/>
          <w:i/>
          <w:iCs/>
        </w:rPr>
        <w:t>wwz.cedre.fr</w:t>
      </w:r>
      <w:r>
        <w:rPr>
          <w:rFonts w:hint="default" w:ascii="Calibri" w:hAnsi="Calibri" w:cs="Calibri"/>
          <w:b w:val="0"/>
          <w:bCs w:val="0"/>
          <w:i/>
          <w:iCs/>
        </w:rPr>
        <w:fldChar w:fldCharType="end"/>
      </w:r>
    </w:p>
    <w:p w14:paraId="460A7A7A">
      <w:pPr>
        <w:pStyle w:val="7"/>
        <w:keepNext w:val="0"/>
        <w:keepLines w:val="0"/>
        <w:widowControl/>
        <w:suppressLineNumbers w:val="0"/>
        <w:ind w:left="720"/>
        <w:jc w:val="both"/>
        <w:rPr>
          <w:rFonts w:hint="default" w:ascii="Calibri" w:hAnsi="Calibri" w:cs="Calibri"/>
          <w:b w:val="0"/>
          <w:bCs w:val="0"/>
          <w:i/>
          <w:iCs/>
          <w:sz w:val="24"/>
          <w:szCs w:val="24"/>
          <w:lang w:val="es-CL"/>
        </w:rPr>
      </w:pPr>
      <w:r>
        <w:rPr>
          <w:rFonts w:hint="default" w:ascii="Calibri" w:hAnsi="Calibri" w:cs="Calibri"/>
          <w:b w:val="0"/>
          <w:bCs w:val="0"/>
          <w:i/>
          <w:iCs/>
        </w:rPr>
        <w:t xml:space="preserve">Maersk Honam — incendio y consecuencias (2018). </w:t>
      </w:r>
      <w:r>
        <w:rPr>
          <w:rFonts w:hint="default" w:ascii="Calibri" w:hAnsi="Calibri" w:cs="Calibri"/>
          <w:b w:val="0"/>
          <w:bCs w:val="0"/>
          <w:i/>
          <w:iCs/>
        </w:rPr>
        <w:fldChar w:fldCharType="begin"/>
      </w:r>
      <w:r>
        <w:rPr>
          <w:rFonts w:hint="default" w:ascii="Calibri" w:hAnsi="Calibri" w:cs="Calibri"/>
          <w:b w:val="0"/>
          <w:bCs w:val="0"/>
          <w:i/>
          <w:iCs/>
        </w:rPr>
        <w:instrText xml:space="preserve"> HYPERLINK "https://www.seatrade-maritime.com/containers/photos-and-video-maersk-honam-fire?utm_source=chatgpt.com" \t "_blank" </w:instrText>
      </w:r>
      <w:r>
        <w:rPr>
          <w:rFonts w:hint="default" w:ascii="Calibri" w:hAnsi="Calibri" w:cs="Calibri"/>
          <w:b w:val="0"/>
          <w:bCs w:val="0"/>
          <w:i/>
          <w:iCs/>
        </w:rPr>
        <w:fldChar w:fldCharType="separate"/>
      </w:r>
      <w:r>
        <w:rPr>
          <w:rStyle w:val="5"/>
          <w:rFonts w:hint="default" w:ascii="Calibri" w:hAnsi="Calibri" w:cs="Calibri"/>
          <w:b w:val="0"/>
          <w:bCs w:val="0"/>
          <w:i/>
          <w:iCs/>
        </w:rPr>
        <w:t>Seatrade Maritime News</w:t>
      </w:r>
      <w:r>
        <w:rPr>
          <w:rFonts w:hint="default" w:ascii="Calibri" w:hAnsi="Calibri" w:cs="Calibri"/>
          <w:b w:val="0"/>
          <w:bCs w:val="0"/>
          <w:i/>
          <w:iCs/>
        </w:rPr>
        <w:fldChar w:fldCharType="end"/>
      </w:r>
    </w:p>
    <w:p w14:paraId="76DAB56D">
      <w:pPr>
        <w:rPr>
          <w:rFonts w:hint="default" w:ascii="Calibri" w:hAnsi="Calibri" w:cs="Calibri"/>
          <w:b/>
          <w:bC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30B6DC"/>
    <w:multiLevelType w:val="singleLevel"/>
    <w:tmpl w:val="9030B6DC"/>
    <w:lvl w:ilvl="0" w:tentative="0">
      <w:start w:val="1"/>
      <w:numFmt w:val="decimal"/>
      <w:suff w:val="space"/>
      <w:lvlText w:val="%1."/>
      <w:lvlJc w:val="left"/>
    </w:lvl>
  </w:abstractNum>
  <w:abstractNum w:abstractNumId="1">
    <w:nsid w:val="35EF7A15"/>
    <w:multiLevelType w:val="singleLevel"/>
    <w:tmpl w:val="35EF7A15"/>
    <w:lvl w:ilvl="0" w:tentative="0">
      <w:start w:val="1"/>
      <w:numFmt w:val="decimal"/>
      <w:suff w:val="space"/>
      <w:lvlText w:val="%1)"/>
      <w:lvlJc w:val="left"/>
    </w:lvl>
  </w:abstractNum>
  <w:abstractNum w:abstractNumId="2">
    <w:nsid w:val="49300241"/>
    <w:multiLevelType w:val="singleLevel"/>
    <w:tmpl w:val="49300241"/>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4647E0"/>
    <w:rsid w:val="4B464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iPriority w:val="0"/>
    <w:rPr>
      <w:color w:val="0000FF"/>
      <w:u w:val="single"/>
    </w:rPr>
  </w:style>
  <w:style w:type="character" w:styleId="6">
    <w:name w:val="Strong"/>
    <w:basedOn w:val="2"/>
    <w:qFormat/>
    <w:uiPriority w:val="0"/>
    <w:rPr>
      <w:b/>
      <w:bCs/>
    </w:rPr>
  </w:style>
  <w:style w:type="paragraph" w:styleId="7">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2025-10-09T20:10:00Z</dcterms:created>
  <dc:creator>Ignacio Santambrogio</dc:creator>
  <cp:lastModifiedBy>Ignacio Santambrogio</cp:lastModifiedBy>
  <dcterms:modified xsi:type="dcterms:W3CDTF">2025-10-09T20:53:14Z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2058-12.2.0.22549</vt:lpwstr>
  </property>
  <property fmtid="{D5CDD505-2E9C-101B-9397-08002B2CF9AE}" pid="3" name="ICV">
    <vt:lpwstr>ED6F5485134447459FA73039E0DABC6C_11</vt:lpwstr>
  </property>
</Properties>
</file>