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8D99F" w14:textId="77777777" w:rsidR="00A82E18" w:rsidRDefault="00A82E18" w:rsidP="00A82E18">
      <w:pPr>
        <w:pStyle w:val="NormalWeb"/>
        <w:shd w:val="clear" w:color="auto" w:fill="FFFFFF"/>
        <w:jc w:val="center"/>
        <w:rPr>
          <w:rFonts w:asciiTheme="minorHAnsi" w:hAnsiTheme="minorHAnsi" w:cstheme="minorHAnsi"/>
          <w:b/>
          <w:sz w:val="32"/>
          <w:szCs w:val="32"/>
        </w:rPr>
      </w:pPr>
      <w:r w:rsidRPr="00A82E18">
        <w:rPr>
          <w:rFonts w:asciiTheme="minorHAnsi" w:hAnsiTheme="minorHAnsi" w:cstheme="minorHAnsi"/>
          <w:b/>
          <w:sz w:val="32"/>
          <w:szCs w:val="32"/>
        </w:rPr>
        <w:t>“</w:t>
      </w:r>
      <w:r w:rsidR="005E6D8E" w:rsidRPr="00A82E18">
        <w:rPr>
          <w:rFonts w:asciiTheme="minorHAnsi" w:hAnsiTheme="minorHAnsi" w:cstheme="minorHAnsi"/>
          <w:b/>
          <w:sz w:val="32"/>
          <w:szCs w:val="32"/>
        </w:rPr>
        <w:t xml:space="preserve">IZAMIENTO DE LA GRAN BANDERA” </w:t>
      </w:r>
    </w:p>
    <w:p w14:paraId="636D54B5" w14:textId="04ECCADF" w:rsidR="000A0622" w:rsidRPr="009E0CC6" w:rsidRDefault="005E6D8E" w:rsidP="009E0CC6">
      <w:pPr>
        <w:pStyle w:val="NormalWeb"/>
        <w:shd w:val="clear" w:color="auto" w:fill="FFFFFF"/>
        <w:jc w:val="center"/>
        <w:rPr>
          <w:rFonts w:asciiTheme="minorHAnsi" w:hAnsiTheme="minorHAnsi" w:cstheme="minorHAnsi"/>
          <w:b/>
          <w:sz w:val="32"/>
          <w:szCs w:val="32"/>
        </w:rPr>
      </w:pPr>
      <w:r w:rsidRPr="00A82E18">
        <w:rPr>
          <w:rFonts w:asciiTheme="minorHAnsi" w:hAnsiTheme="minorHAnsi" w:cstheme="minorHAnsi"/>
          <w:b/>
          <w:sz w:val="32"/>
          <w:szCs w:val="32"/>
        </w:rPr>
        <w:t>INICIO MES DEL MAR 2024</w:t>
      </w:r>
    </w:p>
    <w:p w14:paraId="08AA21FE" w14:textId="77777777" w:rsidR="00A82E18" w:rsidRDefault="00A82E18" w:rsidP="00A82E18">
      <w:pPr>
        <w:pStyle w:val="NormalWeb"/>
        <w:jc w:val="both"/>
        <w:rPr>
          <w:rFonts w:asciiTheme="minorHAnsi" w:hAnsiTheme="minorHAnsi" w:cstheme="minorHAnsi"/>
        </w:rPr>
        <w:sectPr w:rsidR="00A82E18" w:rsidSect="00A82E18">
          <w:headerReference w:type="default" r:id="rId8"/>
          <w:pgSz w:w="11900" w:h="16840"/>
          <w:pgMar w:top="1134" w:right="1701" w:bottom="1134" w:left="1701" w:header="720" w:footer="720" w:gutter="567"/>
          <w:cols w:space="720"/>
          <w:docGrid w:linePitch="360"/>
        </w:sectPr>
      </w:pPr>
    </w:p>
    <w:p w14:paraId="72F179BF" w14:textId="12B36EB0" w:rsidR="005E6D8E" w:rsidRPr="00A82E18" w:rsidRDefault="005E6D8E" w:rsidP="009E0CC6">
      <w:pPr>
        <w:pStyle w:val="NormalWeb"/>
        <w:spacing w:line="276" w:lineRule="auto"/>
        <w:jc w:val="both"/>
        <w:rPr>
          <w:rFonts w:asciiTheme="minorHAnsi" w:hAnsiTheme="minorHAnsi" w:cstheme="minorHAnsi"/>
        </w:rPr>
      </w:pPr>
      <w:r w:rsidRPr="00A82E18">
        <w:rPr>
          <w:rFonts w:asciiTheme="minorHAnsi" w:hAnsiTheme="minorHAnsi" w:cstheme="minorHAnsi"/>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A7D74C5" w14:textId="507F4834" w:rsidR="009E0CC6" w:rsidRDefault="009E0CC6" w:rsidP="009E0CC6">
      <w:pPr>
        <w:pStyle w:val="NormalWeb"/>
        <w:spacing w:line="276" w:lineRule="auto"/>
        <w:jc w:val="both"/>
        <w:rPr>
          <w:rFonts w:asciiTheme="minorHAnsi" w:hAnsiTheme="minorHAnsi" w:cstheme="minorHAnsi"/>
        </w:rPr>
      </w:pPr>
      <w:r w:rsidRPr="00A82E18">
        <w:rPr>
          <w:rFonts w:asciiTheme="minorHAnsi" w:hAnsiTheme="minorHAnsi" w:cstheme="minorHAnsi"/>
          <w:noProof/>
          <w:shd w:val="clear" w:color="auto" w:fill="FFFFFF"/>
          <w:lang w:eastAsia="es-CL"/>
        </w:rPr>
        <w:drawing>
          <wp:anchor distT="0" distB="0" distL="114300" distR="114300" simplePos="0" relativeHeight="251658240" behindDoc="1" locked="0" layoutInCell="1" allowOverlap="1" wp14:anchorId="02FDE5DD" wp14:editId="06C9FE7A">
            <wp:simplePos x="0" y="0"/>
            <wp:positionH relativeFrom="margin">
              <wp:align>center</wp:align>
            </wp:positionH>
            <wp:positionV relativeFrom="paragraph">
              <wp:posOffset>1724660</wp:posOffset>
            </wp:positionV>
            <wp:extent cx="4391025" cy="1038225"/>
            <wp:effectExtent l="0" t="0" r="9525" b="9525"/>
            <wp:wrapTight wrapText="bothSides">
              <wp:wrapPolygon edited="0">
                <wp:start x="0" y="0"/>
                <wp:lineTo x="0" y="21402"/>
                <wp:lineTo x="21553" y="21402"/>
                <wp:lineTo x="21553"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91025" cy="1038225"/>
                    </a:xfrm>
                    <a:prstGeom prst="rect">
                      <a:avLst/>
                    </a:prstGeom>
                  </pic:spPr>
                </pic:pic>
              </a:graphicData>
            </a:graphic>
            <wp14:sizeRelH relativeFrom="page">
              <wp14:pctWidth>0</wp14:pctWidth>
            </wp14:sizeRelH>
            <wp14:sizeRelV relativeFrom="page">
              <wp14:pctHeight>0</wp14:pctHeight>
            </wp14:sizeRelV>
          </wp:anchor>
        </w:drawing>
      </w:r>
      <w:r w:rsidR="005E6D8E" w:rsidRPr="00A82E18">
        <w:rPr>
          <w:rFonts w:asciiTheme="minorHAnsi" w:hAnsiTheme="minorHAnsi" w:cstheme="minorHAnsi"/>
        </w:rPr>
        <w:t>El Destacamento de Honor, formado por una Compañía de la Escuela Naval “Arturo Prat”, junto a la Banda de Músicos y de Guerra del establecimiento, una delegación de Grumetes de la Academia Politécnica Naval, Oficiales de la R</w:t>
      </w:r>
      <w:r>
        <w:rPr>
          <w:rFonts w:asciiTheme="minorHAnsi" w:hAnsiTheme="minorHAnsi" w:cstheme="minorHAnsi"/>
        </w:rPr>
        <w:t>eserva Naval y un Escuadrón del</w:t>
      </w:r>
    </w:p>
    <w:p w14:paraId="34D87A71" w14:textId="7B17F6F0" w:rsidR="005E6D8E" w:rsidRPr="00A82E18" w:rsidRDefault="005E6D8E" w:rsidP="001B306A">
      <w:pPr>
        <w:pStyle w:val="NormalWeb"/>
        <w:spacing w:line="276" w:lineRule="auto"/>
        <w:jc w:val="both"/>
        <w:rPr>
          <w:rFonts w:asciiTheme="minorHAnsi" w:hAnsiTheme="minorHAnsi" w:cstheme="minorHAnsi"/>
        </w:rPr>
      </w:pPr>
      <w:r w:rsidRPr="00A82E18">
        <w:rPr>
          <w:rFonts w:asciiTheme="minorHAnsi" w:hAnsiTheme="minorHAnsi" w:cstheme="minorHAnsi"/>
        </w:rPr>
        <w:t>Regimiento Escolta Presidencial N°1 “Granaderos”, rindió</w:t>
      </w:r>
      <w:r w:rsidR="00023138" w:rsidRPr="00A82E18">
        <w:rPr>
          <w:rFonts w:asciiTheme="minorHAnsi" w:hAnsiTheme="minorHAnsi" w:cstheme="minorHAnsi"/>
        </w:rPr>
        <w:t xml:space="preserve"> </w:t>
      </w:r>
      <w:r w:rsidRPr="00A82E18">
        <w:rPr>
          <w:rFonts w:asciiTheme="minorHAnsi" w:hAnsiTheme="minorHAnsi" w:cstheme="minorHAnsi"/>
        </w:rPr>
        <w:t>honores a la Ministra de Defensa. Posteriormente, se entonó</w:t>
      </w:r>
      <w:r w:rsidR="00023138" w:rsidRPr="00A82E18">
        <w:rPr>
          <w:rFonts w:asciiTheme="minorHAnsi" w:hAnsiTheme="minorHAnsi" w:cstheme="minorHAnsi"/>
        </w:rPr>
        <w:t xml:space="preserve"> </w:t>
      </w:r>
      <w:r w:rsidRPr="00A82E18">
        <w:rPr>
          <w:rFonts w:asciiTheme="minorHAnsi" w:hAnsiTheme="minorHAnsi" w:cstheme="minorHAnsi"/>
        </w:rPr>
        <w:t xml:space="preserve">el Himno Nacional para concluir la ceremonia con el izamiento del Pabellón Nacional. </w:t>
      </w:r>
    </w:p>
    <w:p w14:paraId="74503966" w14:textId="1C0A417E" w:rsidR="009C7A09" w:rsidRDefault="005E6D8E" w:rsidP="009E0CC6">
      <w:pPr>
        <w:pStyle w:val="NormalWeb"/>
        <w:spacing w:line="276" w:lineRule="auto"/>
        <w:jc w:val="both"/>
        <w:rPr>
          <w:rFonts w:asciiTheme="minorHAnsi" w:hAnsiTheme="minorHAnsi" w:cstheme="minorHAnsi"/>
        </w:rPr>
        <w:sectPr w:rsidR="009C7A09" w:rsidSect="00A82E18">
          <w:type w:val="continuous"/>
          <w:pgSz w:w="11900" w:h="16840"/>
          <w:pgMar w:top="1134" w:right="1701" w:bottom="1134" w:left="1701" w:header="720" w:footer="720" w:gutter="567"/>
          <w:cols w:num="2" w:space="720"/>
          <w:docGrid w:linePitch="360"/>
        </w:sectPr>
      </w:pPr>
      <w:r w:rsidRPr="00A82E18">
        <w:rPr>
          <w:rFonts w:asciiTheme="minorHAnsi" w:hAnsiTheme="minorHAnsi" w:cstheme="minorHAnsi"/>
        </w:rPr>
        <w:t xml:space="preserve">El Comandante en Jefe de la Armada, Almirante don Juan Andrés de la Maza Larraín, expresó que: “Siempre es muy emocionante participar en una ceremonia en el corazón de esta ciudad. Estuvieron nuestros Marinos en el izamiento de esta gran bandera que flameará durante mayo, mes que </w:t>
      </w:r>
      <w:proofErr w:type="gramStart"/>
      <w:r w:rsidRPr="00A82E18">
        <w:rPr>
          <w:rFonts w:asciiTheme="minorHAnsi" w:hAnsiTheme="minorHAnsi" w:cstheme="minorHAnsi"/>
        </w:rPr>
        <w:t>recuerda</w:t>
      </w:r>
      <w:proofErr w:type="gramEnd"/>
      <w:r w:rsidRPr="00A82E18">
        <w:rPr>
          <w:rFonts w:asciiTheme="minorHAnsi" w:hAnsiTheme="minorHAnsi" w:cstheme="minorHAnsi"/>
        </w:rPr>
        <w:t xml:space="preserve"> a los héroes navales de esa heroica gesta de Iquique, hace 145 años”.</w:t>
      </w:r>
      <w:r w:rsidR="00023138" w:rsidRPr="00A82E18">
        <w:rPr>
          <w:rFonts w:asciiTheme="minorHAnsi" w:hAnsiTheme="minorHAnsi" w:cstheme="minorHAnsi"/>
        </w:rPr>
        <w:t xml:space="preserve"> </w:t>
      </w:r>
    </w:p>
    <w:p w14:paraId="0B2F8E94" w14:textId="77777777" w:rsidR="009E0CC6" w:rsidRDefault="009E0CC6" w:rsidP="009E0CC6">
      <w:pPr>
        <w:pStyle w:val="NormalWeb"/>
        <w:spacing w:line="276" w:lineRule="auto"/>
        <w:jc w:val="both"/>
        <w:rPr>
          <w:rFonts w:asciiTheme="minorHAnsi" w:hAnsiTheme="minorHAnsi" w:cstheme="minorHAnsi"/>
        </w:rPr>
      </w:pPr>
    </w:p>
    <w:p w14:paraId="396D90EF" w14:textId="11EDB72A" w:rsidR="009C7A09" w:rsidRPr="009C7A09" w:rsidRDefault="005E6D8E" w:rsidP="009E0CC6">
      <w:pPr>
        <w:pStyle w:val="NormalWeb"/>
        <w:spacing w:line="276" w:lineRule="auto"/>
        <w:jc w:val="both"/>
        <w:rPr>
          <w:rFonts w:asciiTheme="minorHAnsi" w:hAnsiTheme="minorHAnsi" w:cstheme="minorHAnsi"/>
        </w:rPr>
        <w:sectPr w:rsidR="009C7A09" w:rsidRPr="009C7A09" w:rsidSect="009C7A09">
          <w:type w:val="continuous"/>
          <w:pgSz w:w="11900" w:h="16840"/>
          <w:pgMar w:top="1134" w:right="1701" w:bottom="1134" w:left="1701" w:header="720" w:footer="720" w:gutter="567"/>
          <w:cols w:space="720"/>
          <w:docGrid w:linePitch="360"/>
        </w:sectPr>
      </w:pPr>
      <w:r w:rsidRPr="00A82E18">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9C7A09">
        <w:rPr>
          <w:rStyle w:val="Refdenotaalpie"/>
          <w:rFonts w:asciiTheme="minorHAnsi" w:hAnsiTheme="minorHAnsi" w:cstheme="minorHAnsi"/>
        </w:rPr>
        <w:footnoteReference w:id="1"/>
      </w:r>
    </w:p>
    <w:p w14:paraId="0E96DF3E" w14:textId="77777777" w:rsidR="00A82E18" w:rsidRDefault="00A82E18" w:rsidP="009E0CC6">
      <w:pPr>
        <w:spacing w:line="276" w:lineRule="auto"/>
        <w:jc w:val="both"/>
        <w:rPr>
          <w:rFonts w:cstheme="minorHAnsi"/>
          <w:sz w:val="24"/>
          <w:szCs w:val="24"/>
          <w:shd w:val="clear" w:color="auto" w:fill="FFFFFF"/>
        </w:rPr>
        <w:sectPr w:rsidR="00A82E18" w:rsidSect="00A82E18">
          <w:type w:val="continuous"/>
          <w:pgSz w:w="11900" w:h="16840"/>
          <w:pgMar w:top="1134" w:right="1701" w:bottom="1134" w:left="1701" w:header="720" w:footer="720" w:gutter="567"/>
          <w:cols w:num="2" w:space="720"/>
          <w:docGrid w:linePitch="360"/>
        </w:sectPr>
      </w:pPr>
    </w:p>
    <w:p w14:paraId="354D6AB4" w14:textId="77777777" w:rsidR="005A222A" w:rsidRPr="009C7A09" w:rsidRDefault="005A222A" w:rsidP="009C7A09">
      <w:pPr>
        <w:jc w:val="center"/>
        <w:rPr>
          <w:rFonts w:ascii="Arial" w:hAnsi="Arial" w:cs="Arial"/>
          <w:b/>
          <w:sz w:val="28"/>
          <w:szCs w:val="24"/>
          <w:shd w:val="clear" w:color="auto" w:fill="FFFFFF"/>
        </w:rPr>
      </w:pPr>
      <w:r w:rsidRPr="009C7A09">
        <w:rPr>
          <w:rFonts w:ascii="Arial" w:hAnsi="Arial" w:cs="Arial"/>
          <w:b/>
          <w:sz w:val="28"/>
          <w:szCs w:val="24"/>
          <w:shd w:val="clear" w:color="auto" w:fill="FFFFFF"/>
        </w:rPr>
        <w:lastRenderedPageBreak/>
        <w:t>Clasificación de las proteínas:</w:t>
      </w:r>
    </w:p>
    <w:p w14:paraId="76033E99" w14:textId="77777777" w:rsidR="005A222A" w:rsidRPr="009E0CC6" w:rsidRDefault="005A222A" w:rsidP="009E0CC6">
      <w:pPr>
        <w:pStyle w:val="Sinespaciado"/>
        <w:numPr>
          <w:ilvl w:val="0"/>
          <w:numId w:val="4"/>
        </w:numPr>
        <w:spacing w:line="360" w:lineRule="auto"/>
        <w:rPr>
          <w:rFonts w:ascii="Arial" w:hAnsi="Arial" w:cs="Arial"/>
          <w:b/>
          <w:sz w:val="24"/>
          <w:szCs w:val="24"/>
          <w:shd w:val="clear" w:color="auto" w:fill="FFFFFF"/>
        </w:rPr>
      </w:pPr>
      <w:proofErr w:type="spellStart"/>
      <w:r w:rsidRPr="009E0CC6">
        <w:rPr>
          <w:rFonts w:ascii="Arial" w:hAnsi="Arial" w:cs="Arial"/>
          <w:b/>
          <w:sz w:val="24"/>
          <w:szCs w:val="24"/>
          <w:shd w:val="clear" w:color="auto" w:fill="FFFFFF"/>
        </w:rPr>
        <w:t>Holoproteínas</w:t>
      </w:r>
      <w:proofErr w:type="spellEnd"/>
      <w:r w:rsidRPr="009E0CC6">
        <w:rPr>
          <w:rFonts w:ascii="Arial" w:hAnsi="Arial" w:cs="Arial"/>
          <w:b/>
          <w:sz w:val="24"/>
          <w:szCs w:val="24"/>
          <w:shd w:val="clear" w:color="auto" w:fill="FFFFFF"/>
        </w:rPr>
        <w:t>:</w:t>
      </w:r>
    </w:p>
    <w:p w14:paraId="75857129" w14:textId="77777777" w:rsidR="005A222A" w:rsidRPr="009E0CC6" w:rsidRDefault="005A222A" w:rsidP="009E0CC6">
      <w:pPr>
        <w:pStyle w:val="Sinespaciado"/>
        <w:numPr>
          <w:ilvl w:val="1"/>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Fibrosas:</w:t>
      </w:r>
    </w:p>
    <w:p w14:paraId="1B531C38"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colágeno</w:t>
      </w:r>
    </w:p>
    <w:p w14:paraId="5E6E6097"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queratina</w:t>
      </w:r>
    </w:p>
    <w:p w14:paraId="4B7C6F4D"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elastina</w:t>
      </w:r>
    </w:p>
    <w:p w14:paraId="7FC6ACC5" w14:textId="77777777" w:rsidR="005A222A" w:rsidRDefault="005A222A" w:rsidP="009E0CC6">
      <w:pPr>
        <w:pStyle w:val="Sinespaciado"/>
        <w:numPr>
          <w:ilvl w:val="2"/>
          <w:numId w:val="4"/>
        </w:numPr>
        <w:spacing w:line="360" w:lineRule="auto"/>
        <w:rPr>
          <w:rFonts w:ascii="Arial" w:hAnsi="Arial" w:cs="Arial"/>
          <w:sz w:val="24"/>
          <w:szCs w:val="24"/>
          <w:shd w:val="clear" w:color="auto" w:fill="FFFFFF"/>
        </w:rPr>
      </w:pPr>
      <w:proofErr w:type="spellStart"/>
      <w:r w:rsidRPr="009E0CC6">
        <w:rPr>
          <w:rFonts w:ascii="Arial" w:hAnsi="Arial" w:cs="Arial"/>
          <w:sz w:val="24"/>
          <w:szCs w:val="24"/>
          <w:shd w:val="clear" w:color="auto" w:fill="FFFFFF"/>
        </w:rPr>
        <w:t>fibroína</w:t>
      </w:r>
      <w:proofErr w:type="spellEnd"/>
    </w:p>
    <w:p w14:paraId="0162F2B7" w14:textId="77777777" w:rsidR="009E0CC6" w:rsidRPr="009E0CC6" w:rsidRDefault="009E0CC6" w:rsidP="009E0CC6">
      <w:pPr>
        <w:pStyle w:val="Sinespaciado"/>
        <w:spacing w:line="360" w:lineRule="auto"/>
        <w:ind w:left="851"/>
        <w:rPr>
          <w:rFonts w:ascii="Arial" w:hAnsi="Arial" w:cs="Arial"/>
          <w:sz w:val="24"/>
          <w:szCs w:val="24"/>
          <w:shd w:val="clear" w:color="auto" w:fill="FFFFFF"/>
        </w:rPr>
      </w:pPr>
      <w:bookmarkStart w:id="0" w:name="_GoBack"/>
      <w:bookmarkEnd w:id="0"/>
    </w:p>
    <w:p w14:paraId="03DEEC91" w14:textId="77777777" w:rsidR="005A222A" w:rsidRPr="009E0CC6" w:rsidRDefault="005A222A" w:rsidP="009E0CC6">
      <w:pPr>
        <w:pStyle w:val="Sinespaciado"/>
        <w:numPr>
          <w:ilvl w:val="1"/>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Globulosas:</w:t>
      </w:r>
    </w:p>
    <w:p w14:paraId="1A2638D7"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albuminas</w:t>
      </w:r>
    </w:p>
    <w:p w14:paraId="475F527E"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globulina</w:t>
      </w:r>
    </w:p>
    <w:p w14:paraId="2EEC8311"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histonas</w:t>
      </w:r>
    </w:p>
    <w:p w14:paraId="426CEE1B" w14:textId="77777777" w:rsidR="005A222A"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enzimas</w:t>
      </w:r>
    </w:p>
    <w:p w14:paraId="4C060982" w14:textId="77777777" w:rsidR="009E0CC6" w:rsidRPr="009E0CC6" w:rsidRDefault="009E0CC6" w:rsidP="009E0CC6">
      <w:pPr>
        <w:pStyle w:val="Sinespaciado"/>
        <w:spacing w:line="360" w:lineRule="auto"/>
        <w:ind w:left="851"/>
        <w:rPr>
          <w:rFonts w:ascii="Arial" w:hAnsi="Arial" w:cs="Arial"/>
          <w:b/>
          <w:sz w:val="24"/>
          <w:szCs w:val="24"/>
          <w:shd w:val="clear" w:color="auto" w:fill="FFFFFF"/>
        </w:rPr>
      </w:pPr>
    </w:p>
    <w:p w14:paraId="67F74DDC" w14:textId="619204C4" w:rsidR="005A222A" w:rsidRPr="009E0CC6" w:rsidRDefault="005A222A" w:rsidP="009E0CC6">
      <w:pPr>
        <w:pStyle w:val="Sinespaciado"/>
        <w:numPr>
          <w:ilvl w:val="0"/>
          <w:numId w:val="4"/>
        </w:numPr>
        <w:spacing w:line="360" w:lineRule="auto"/>
        <w:rPr>
          <w:rFonts w:ascii="Arial" w:hAnsi="Arial" w:cs="Arial"/>
          <w:b/>
          <w:sz w:val="24"/>
          <w:szCs w:val="24"/>
          <w:shd w:val="clear" w:color="auto" w:fill="FFFFFF"/>
        </w:rPr>
      </w:pPr>
      <w:proofErr w:type="spellStart"/>
      <w:r w:rsidRPr="009E0CC6">
        <w:rPr>
          <w:rFonts w:ascii="Arial" w:hAnsi="Arial" w:cs="Arial"/>
          <w:b/>
          <w:sz w:val="24"/>
          <w:szCs w:val="24"/>
          <w:shd w:val="clear" w:color="auto" w:fill="FFFFFF"/>
        </w:rPr>
        <w:t>Hetero</w:t>
      </w:r>
      <w:proofErr w:type="spellEnd"/>
      <w:r w:rsidR="009E0CC6" w:rsidRPr="009E0CC6">
        <w:rPr>
          <w:rFonts w:ascii="Arial" w:hAnsi="Arial" w:cs="Arial"/>
          <w:b/>
          <w:sz w:val="24"/>
          <w:szCs w:val="24"/>
          <w:shd w:val="clear" w:color="auto" w:fill="FFFFFF"/>
        </w:rPr>
        <w:t xml:space="preserve"> </w:t>
      </w:r>
      <w:r w:rsidRPr="009E0CC6">
        <w:rPr>
          <w:rFonts w:ascii="Arial" w:hAnsi="Arial" w:cs="Arial"/>
          <w:b/>
          <w:sz w:val="24"/>
          <w:szCs w:val="24"/>
          <w:shd w:val="clear" w:color="auto" w:fill="FFFFFF"/>
        </w:rPr>
        <w:t>proteínas:</w:t>
      </w:r>
    </w:p>
    <w:p w14:paraId="1572D8C7" w14:textId="77777777" w:rsidR="005A222A" w:rsidRPr="009E0CC6" w:rsidRDefault="005A222A" w:rsidP="009E0CC6">
      <w:pPr>
        <w:pStyle w:val="Sinespaciado"/>
        <w:numPr>
          <w:ilvl w:val="1"/>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Glucoproteína:</w:t>
      </w:r>
    </w:p>
    <w:p w14:paraId="71F2F453"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mucinas</w:t>
      </w:r>
    </w:p>
    <w:p w14:paraId="10941089"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proteína anticoagulante</w:t>
      </w:r>
    </w:p>
    <w:p w14:paraId="1B4B1F54" w14:textId="77777777" w:rsidR="005A222A"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glucoproteína A y B</w:t>
      </w:r>
    </w:p>
    <w:p w14:paraId="1EA78E75" w14:textId="77777777" w:rsidR="009E0CC6" w:rsidRPr="009E0CC6" w:rsidRDefault="009E0CC6" w:rsidP="009E0CC6">
      <w:pPr>
        <w:pStyle w:val="Sinespaciado"/>
        <w:spacing w:line="360" w:lineRule="auto"/>
        <w:ind w:left="851"/>
        <w:rPr>
          <w:rFonts w:ascii="Arial" w:hAnsi="Arial" w:cs="Arial"/>
          <w:sz w:val="24"/>
          <w:szCs w:val="24"/>
          <w:shd w:val="clear" w:color="auto" w:fill="FFFFFF"/>
        </w:rPr>
      </w:pPr>
    </w:p>
    <w:p w14:paraId="2BFD9EE7" w14:textId="77777777" w:rsidR="005A222A" w:rsidRPr="009E0CC6" w:rsidRDefault="005A222A" w:rsidP="009E0CC6">
      <w:pPr>
        <w:pStyle w:val="Sinespaciado"/>
        <w:numPr>
          <w:ilvl w:val="1"/>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Fosfoproteína:</w:t>
      </w:r>
    </w:p>
    <w:p w14:paraId="3BC5BF09"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caseína de la leche</w:t>
      </w:r>
    </w:p>
    <w:p w14:paraId="2C3EA22C" w14:textId="77777777" w:rsidR="005A222A"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vitelina</w:t>
      </w:r>
    </w:p>
    <w:p w14:paraId="1D10CF5C" w14:textId="77777777" w:rsidR="009E0CC6" w:rsidRPr="009E0CC6" w:rsidRDefault="009E0CC6" w:rsidP="009E0CC6">
      <w:pPr>
        <w:pStyle w:val="Sinespaciado"/>
        <w:spacing w:line="360" w:lineRule="auto"/>
        <w:ind w:left="851"/>
        <w:rPr>
          <w:rFonts w:ascii="Arial" w:hAnsi="Arial" w:cs="Arial"/>
          <w:sz w:val="24"/>
          <w:szCs w:val="24"/>
          <w:shd w:val="clear" w:color="auto" w:fill="FFFFFF"/>
        </w:rPr>
      </w:pPr>
    </w:p>
    <w:p w14:paraId="79E04D05" w14:textId="77777777" w:rsidR="005A222A" w:rsidRPr="009E0CC6" w:rsidRDefault="005A222A" w:rsidP="009E0CC6">
      <w:pPr>
        <w:pStyle w:val="Sinespaciado"/>
        <w:numPr>
          <w:ilvl w:val="1"/>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Lipoproteína:</w:t>
      </w:r>
    </w:p>
    <w:p w14:paraId="2CF7AD42"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HDL</w:t>
      </w:r>
    </w:p>
    <w:p w14:paraId="34BE7ACB" w14:textId="77777777" w:rsidR="005A222A"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LDL</w:t>
      </w:r>
    </w:p>
    <w:p w14:paraId="28EFC062" w14:textId="77777777" w:rsidR="009E0CC6" w:rsidRPr="009E0CC6" w:rsidRDefault="009E0CC6" w:rsidP="009E0CC6">
      <w:pPr>
        <w:pStyle w:val="Sinespaciado"/>
        <w:spacing w:line="360" w:lineRule="auto"/>
        <w:ind w:left="851"/>
        <w:rPr>
          <w:rFonts w:ascii="Arial" w:hAnsi="Arial" w:cs="Arial"/>
          <w:sz w:val="24"/>
          <w:szCs w:val="24"/>
          <w:shd w:val="clear" w:color="auto" w:fill="FFFFFF"/>
        </w:rPr>
      </w:pPr>
    </w:p>
    <w:p w14:paraId="0A7991F8" w14:textId="77777777" w:rsidR="005A222A" w:rsidRPr="009E0CC6" w:rsidRDefault="005A222A" w:rsidP="009E0CC6">
      <w:pPr>
        <w:pStyle w:val="Sinespaciado"/>
        <w:numPr>
          <w:ilvl w:val="1"/>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Cromoproteínas:</w:t>
      </w:r>
    </w:p>
    <w:p w14:paraId="74E190DC"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hemoglobina</w:t>
      </w:r>
    </w:p>
    <w:p w14:paraId="0C7F49DA" w14:textId="77777777" w:rsidR="005A222A" w:rsidRPr="009E0CC6" w:rsidRDefault="005A222A" w:rsidP="009E0CC6">
      <w:pPr>
        <w:pStyle w:val="Sinespaciado"/>
        <w:numPr>
          <w:ilvl w:val="2"/>
          <w:numId w:val="4"/>
        </w:numPr>
        <w:spacing w:line="360" w:lineRule="auto"/>
        <w:rPr>
          <w:rFonts w:ascii="Arial" w:hAnsi="Arial" w:cs="Arial"/>
          <w:sz w:val="24"/>
          <w:szCs w:val="24"/>
          <w:shd w:val="clear" w:color="auto" w:fill="FFFFFF"/>
        </w:rPr>
      </w:pPr>
      <w:r w:rsidRPr="009E0CC6">
        <w:rPr>
          <w:rFonts w:ascii="Arial" w:hAnsi="Arial" w:cs="Arial"/>
          <w:sz w:val="24"/>
          <w:szCs w:val="24"/>
          <w:shd w:val="clear" w:color="auto" w:fill="FFFFFF"/>
        </w:rPr>
        <w:t>hemocianina</w:t>
      </w:r>
    </w:p>
    <w:p w14:paraId="4236D3C8" w14:textId="77777777" w:rsidR="00970E36" w:rsidRPr="009E0CC6" w:rsidRDefault="00970E36" w:rsidP="009E0CC6">
      <w:pPr>
        <w:spacing w:line="360" w:lineRule="auto"/>
        <w:jc w:val="both"/>
        <w:rPr>
          <w:rFonts w:ascii="Arial" w:hAnsi="Arial" w:cs="Arial"/>
          <w:sz w:val="24"/>
          <w:szCs w:val="24"/>
          <w:shd w:val="clear" w:color="auto" w:fill="FFFFFF"/>
        </w:rPr>
      </w:pPr>
    </w:p>
    <w:sectPr w:rsidR="00970E36" w:rsidRPr="009E0CC6" w:rsidSect="00A82E18">
      <w:type w:val="continuous"/>
      <w:pgSz w:w="11900" w:h="16840"/>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537CF4" w14:textId="77777777" w:rsidR="000860CD" w:rsidRDefault="000860CD" w:rsidP="005D5414">
      <w:pPr>
        <w:spacing w:after="0" w:line="240" w:lineRule="auto"/>
      </w:pPr>
      <w:r>
        <w:separator/>
      </w:r>
    </w:p>
  </w:endnote>
  <w:endnote w:type="continuationSeparator" w:id="0">
    <w:p w14:paraId="7B13987E" w14:textId="77777777" w:rsidR="000860CD" w:rsidRDefault="000860CD"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02950" w14:textId="77777777" w:rsidR="000860CD" w:rsidRDefault="000860CD" w:rsidP="005D5414">
      <w:pPr>
        <w:spacing w:after="0" w:line="240" w:lineRule="auto"/>
      </w:pPr>
      <w:r>
        <w:separator/>
      </w:r>
    </w:p>
  </w:footnote>
  <w:footnote w:type="continuationSeparator" w:id="0">
    <w:p w14:paraId="5F94691F" w14:textId="77777777" w:rsidR="000860CD" w:rsidRDefault="000860CD" w:rsidP="005D5414">
      <w:pPr>
        <w:spacing w:after="0" w:line="240" w:lineRule="auto"/>
      </w:pPr>
      <w:r>
        <w:continuationSeparator/>
      </w:r>
    </w:p>
  </w:footnote>
  <w:footnote w:id="1">
    <w:p w14:paraId="34F9AD86" w14:textId="100E9ED6" w:rsidR="009C7A09" w:rsidRPr="009C7A09" w:rsidRDefault="009C7A09" w:rsidP="009C7A09">
      <w:pPr>
        <w:pStyle w:val="NormalWeb"/>
        <w:jc w:val="both"/>
        <w:rPr>
          <w:rFonts w:asciiTheme="minorHAnsi" w:hAnsiTheme="minorHAnsi" w:cstheme="minorHAnsi"/>
          <w:i/>
          <w:iCs/>
        </w:rPr>
      </w:pPr>
      <w:r>
        <w:rPr>
          <w:rStyle w:val="Refdenotaalpie"/>
        </w:rPr>
        <w:footnoteRef/>
      </w:r>
      <w:r>
        <w:t xml:space="preserve"> </w:t>
      </w:r>
      <w:r w:rsidRPr="00A82E18">
        <w:rPr>
          <w:rFonts w:asciiTheme="minorHAnsi" w:hAnsiTheme="minorHAnsi" w:cstheme="minorHAnsi"/>
          <w:i/>
          <w:iCs/>
        </w:rPr>
        <w:t>P</w:t>
      </w:r>
      <w:r>
        <w:rPr>
          <w:rFonts w:asciiTheme="minorHAnsi" w:hAnsiTheme="minorHAnsi" w:cstheme="minorHAnsi"/>
          <w:i/>
          <w:iCs/>
        </w:rPr>
        <w:t>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1AFDB" w14:textId="13801A2C" w:rsidR="00361C43" w:rsidRPr="00A82E18" w:rsidRDefault="00A82E18" w:rsidP="00A82E18">
    <w:pPr>
      <w:pStyle w:val="Encabezado"/>
      <w:rPr>
        <w:rFonts w:ascii="Arial" w:hAnsi="Arial" w:cs="Arial"/>
        <w:b/>
        <w:sz w:val="24"/>
        <w:szCs w:val="24"/>
        <w:lang w:val="es-MX"/>
      </w:rPr>
    </w:pPr>
    <w:r>
      <w:rPr>
        <w:noProof/>
        <w:lang w:eastAsia="es-CL"/>
      </w:rPr>
      <w:drawing>
        <wp:anchor distT="0" distB="0" distL="114300" distR="114300" simplePos="0" relativeHeight="251659264" behindDoc="1" locked="0" layoutInCell="1" allowOverlap="1" wp14:anchorId="5E49D0E3" wp14:editId="30F13DC6">
          <wp:simplePos x="0" y="0"/>
          <wp:positionH relativeFrom="margin">
            <wp:posOffset>2684145</wp:posOffset>
          </wp:positionH>
          <wp:positionV relativeFrom="paragraph">
            <wp:posOffset>-209550</wp:posOffset>
          </wp:positionV>
          <wp:extent cx="409575" cy="400050"/>
          <wp:effectExtent l="0" t="0" r="9525" b="0"/>
          <wp:wrapTight wrapText="bothSides">
            <wp:wrapPolygon edited="0">
              <wp:start x="0" y="0"/>
              <wp:lineTo x="0" y="20571"/>
              <wp:lineTo x="21098" y="20571"/>
              <wp:lineTo x="21098" y="0"/>
              <wp:lineTo x="0"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9575"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C43" w:rsidRPr="00A82E18">
      <w:rPr>
        <w:rFonts w:ascii="Arial" w:hAnsi="Arial" w:cs="Arial"/>
        <w:b/>
        <w:sz w:val="24"/>
        <w:szCs w:val="24"/>
        <w:lang w:val="es-MX"/>
      </w:rPr>
      <w:t>ESCUELA NAVAL “ARTURO PRAT”</w:t>
    </w:r>
  </w:p>
  <w:p w14:paraId="061B2B91" w14:textId="73619933" w:rsidR="00A82E18" w:rsidRDefault="00361C43" w:rsidP="00A82E18">
    <w:pPr>
      <w:pStyle w:val="Encabezado"/>
      <w:pBdr>
        <w:bottom w:val="single" w:sz="6" w:space="1" w:color="auto"/>
      </w:pBdr>
      <w:rPr>
        <w:rFonts w:ascii="Arial" w:hAnsi="Arial" w:cs="Arial"/>
        <w:b/>
        <w:sz w:val="24"/>
        <w:szCs w:val="24"/>
        <w:lang w:val="es-MX"/>
      </w:rPr>
    </w:pPr>
    <w:r w:rsidRPr="00A82E18">
      <w:rPr>
        <w:rFonts w:ascii="Arial" w:hAnsi="Arial" w:cs="Arial"/>
        <w:b/>
        <w:sz w:val="24"/>
        <w:szCs w:val="24"/>
        <w:lang w:val="es-MX"/>
      </w:rPr>
      <w:t>HERRAMIENTAS TECNOLÓGICAS</w:t>
    </w:r>
  </w:p>
  <w:p w14:paraId="4F824213" w14:textId="77777777" w:rsidR="00A82E18" w:rsidRDefault="00A82E18" w:rsidP="00A82E18">
    <w:pPr>
      <w:pStyle w:val="Encabezado"/>
      <w:rPr>
        <w:rFonts w:ascii="Arial" w:hAnsi="Arial" w:cs="Arial"/>
        <w:b/>
        <w:sz w:val="24"/>
        <w:szCs w:val="24"/>
        <w:lang w:val="es-MX"/>
      </w:rPr>
    </w:pPr>
  </w:p>
  <w:p w14:paraId="2CE39411" w14:textId="77777777" w:rsidR="00A82E18" w:rsidRDefault="00A82E18">
    <w:pPr>
      <w:pStyle w:val="Encabezado"/>
      <w:rPr>
        <w:rFonts w:ascii="Arial" w:hAnsi="Arial" w:cs="Arial"/>
        <w:b/>
        <w:sz w:val="24"/>
        <w:szCs w:val="24"/>
        <w:lang w:val="es-MX"/>
      </w:rPr>
    </w:pPr>
  </w:p>
  <w:p w14:paraId="20C25D09" w14:textId="77777777" w:rsidR="00A82E18" w:rsidRPr="00A82E18" w:rsidRDefault="00A82E18">
    <w:pPr>
      <w:pStyle w:val="Encabezado"/>
      <w:rPr>
        <w:rFonts w:ascii="Arial" w:hAnsi="Arial" w:cs="Arial"/>
        <w:b/>
        <w:sz w:val="24"/>
        <w:szCs w:val="24"/>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403F6E9A"/>
    <w:multiLevelType w:val="multilevel"/>
    <w:tmpl w:val="5836612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860CD"/>
    <w:rsid w:val="000A0622"/>
    <w:rsid w:val="00163BE1"/>
    <w:rsid w:val="001B306A"/>
    <w:rsid w:val="00234C19"/>
    <w:rsid w:val="00291ADE"/>
    <w:rsid w:val="002C41B6"/>
    <w:rsid w:val="002D0122"/>
    <w:rsid w:val="00361C43"/>
    <w:rsid w:val="00393D5E"/>
    <w:rsid w:val="003A3C74"/>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C7A09"/>
    <w:rsid w:val="009E0CC6"/>
    <w:rsid w:val="009F224C"/>
    <w:rsid w:val="00A26421"/>
    <w:rsid w:val="00A82E18"/>
    <w:rsid w:val="00BD0309"/>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E5DB6-2738-41F9-B455-00E6933C5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283</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2025-02-27T15:44:00Z</dcterms:created>
  <dcterms:modified xsi:type="dcterms:W3CDTF">2025-02-27T15:44:00Z</dcterms:modified>
</cp:coreProperties>
</file>