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0C3B" w:rsidRDefault="00F40C3B" w:rsidP="00F40C3B"/>
    <w:p w:rsidR="009124B3" w:rsidRDefault="00F40C3B" w:rsidP="00F40C3B">
      <w:pPr>
        <w:rPr>
          <w:rFonts w:ascii="Arial" w:hAnsi="Arial" w:cs="Arial"/>
          <w:b/>
          <w:sz w:val="32"/>
          <w:szCs w:val="32"/>
          <w:lang w:val="es-CL"/>
        </w:rPr>
      </w:pPr>
      <w:r w:rsidRPr="00F40C3B">
        <w:rPr>
          <w:rFonts w:ascii="Arial" w:hAnsi="Arial" w:cs="Arial"/>
          <w:b/>
          <w:sz w:val="32"/>
          <w:szCs w:val="32"/>
          <w:lang w:val="es-CL"/>
        </w:rPr>
        <w:t>LAS MUJERES Y LAS PERSPECTIVAS DE GÉNERO EN LA COMPARACIÓN MILITAR E INTERNACIONAL</w:t>
      </w:r>
    </w:p>
    <w:p w:rsidR="00F40C3B" w:rsidRDefault="00F40C3B" w:rsidP="00F40C3B">
      <w:pPr>
        <w:rPr>
          <w:rFonts w:ascii="Arial" w:hAnsi="Arial" w:cs="Arial"/>
          <w:b/>
          <w:sz w:val="32"/>
          <w:szCs w:val="32"/>
          <w:lang w:val="es-CL"/>
        </w:rPr>
      </w:pPr>
      <w:r>
        <w:rPr>
          <w:rFonts w:ascii="Arial" w:hAnsi="Arial" w:cs="Arial"/>
          <w:b/>
          <w:sz w:val="32"/>
          <w:szCs w:val="32"/>
          <w:lang w:val="es-CL"/>
        </w:rPr>
        <w:t>DE ROBERT EGNELL Y MAYESHA ALAM editores</w:t>
      </w:r>
    </w:p>
    <w:p w:rsidR="00F40C3B" w:rsidRDefault="00F40C3B" w:rsidP="00F40C3B">
      <w:pPr>
        <w:rPr>
          <w:rFonts w:ascii="Arial" w:hAnsi="Arial" w:cs="Arial"/>
          <w:b/>
          <w:sz w:val="32"/>
          <w:szCs w:val="32"/>
          <w:lang w:val="es-CL"/>
        </w:rPr>
      </w:pPr>
      <w:r>
        <w:rPr>
          <w:rFonts w:ascii="Arial" w:hAnsi="Arial" w:cs="Arial"/>
          <w:b/>
          <w:sz w:val="32"/>
          <w:szCs w:val="32"/>
          <w:lang w:val="es-CL"/>
        </w:rPr>
        <w:t xml:space="preserve">Georgetown </w:t>
      </w:r>
      <w:proofErr w:type="spellStart"/>
      <w:r>
        <w:rPr>
          <w:rFonts w:ascii="Arial" w:hAnsi="Arial" w:cs="Arial"/>
          <w:b/>
          <w:sz w:val="32"/>
          <w:szCs w:val="32"/>
          <w:lang w:val="es-CL"/>
        </w:rPr>
        <w:t>University</w:t>
      </w:r>
      <w:proofErr w:type="spellEnd"/>
      <w:r>
        <w:rPr>
          <w:rFonts w:ascii="Arial" w:hAnsi="Arial" w:cs="Arial"/>
          <w:b/>
          <w:sz w:val="32"/>
          <w:szCs w:val="32"/>
          <w:lang w:val="es-CL"/>
        </w:rPr>
        <w:t xml:space="preserve"> </w:t>
      </w:r>
      <w:proofErr w:type="spellStart"/>
      <w:r>
        <w:rPr>
          <w:rFonts w:ascii="Arial" w:hAnsi="Arial" w:cs="Arial"/>
          <w:b/>
          <w:sz w:val="32"/>
          <w:szCs w:val="32"/>
          <w:lang w:val="es-CL"/>
        </w:rPr>
        <w:t>Press</w:t>
      </w:r>
      <w:proofErr w:type="spellEnd"/>
      <w:r>
        <w:rPr>
          <w:rFonts w:ascii="Arial" w:hAnsi="Arial" w:cs="Arial"/>
          <w:b/>
          <w:sz w:val="32"/>
          <w:szCs w:val="32"/>
          <w:lang w:val="es-CL"/>
        </w:rPr>
        <w:t>, 2019</w:t>
      </w:r>
    </w:p>
    <w:p w:rsidR="00F40C3B" w:rsidRDefault="00F40C3B" w:rsidP="00F40C3B">
      <w:pPr>
        <w:rPr>
          <w:rFonts w:ascii="Arial" w:hAnsi="Arial" w:cs="Arial"/>
          <w:b/>
          <w:sz w:val="32"/>
          <w:szCs w:val="32"/>
          <w:lang w:val="es-CL"/>
        </w:rPr>
      </w:pPr>
      <w:r>
        <w:rPr>
          <w:rFonts w:ascii="Arial" w:hAnsi="Arial" w:cs="Arial"/>
          <w:b/>
          <w:sz w:val="32"/>
          <w:szCs w:val="32"/>
          <w:lang w:val="es-CL"/>
        </w:rPr>
        <w:t>INTRODUCCIÓN</w:t>
      </w:r>
    </w:p>
    <w:p w:rsidR="005C5775" w:rsidRDefault="005C5775" w:rsidP="005C5775">
      <w:pPr>
        <w:jc w:val="both"/>
        <w:rPr>
          <w:rFonts w:ascii="Arial" w:hAnsi="Arial" w:cs="Arial"/>
          <w:sz w:val="32"/>
          <w:szCs w:val="32"/>
          <w:lang w:val="es-CL"/>
        </w:rPr>
      </w:pPr>
      <w:r w:rsidRPr="005C5775">
        <w:rPr>
          <w:rFonts w:ascii="Arial" w:hAnsi="Arial" w:cs="Arial"/>
          <w:sz w:val="32"/>
          <w:szCs w:val="32"/>
          <w:lang w:val="es-CL"/>
        </w:rPr>
        <w:t xml:space="preserve">Ya se trate de guerras, de diplomacia, de diseño de tácticas militares o de desarrollo de estrategias nucleares, el ámbito de la seguridad internacional ha sido tradicionalmente concebido (tanto por quienes están dentro como fuera de él) como un ámbito de competencia de los hombres. En casi todo el mundo, la relación entre el género (como construcción social) y el ámbito militar ha sido en gran medida ignorada. Y, sin embargo, las conceptualizaciones del género, de la masculinidad y la feminidad, de los roles apropiados para los hombres y para las mujeres, son importantes en materia de seguridad internacional, aun cuando, durante demasiado tiempo, quienes ocupan los escalones más altos del poder (ya sea en el gobierno o en el ejército) se han mostrado reacios a reconocer este hecho. Las ideas moldean valores y juicios, guían decisiones y dan vida a las interacciones entre personas, entre instituciones y entre Estados. Más allá de la teoría, las experiencias de guerra y paz en función del género se manifiestan de manera diferente para hombres y mujeres, y configuran sus necesidades y capacidades para resolver y perpetuar conflictos armados. </w:t>
      </w:r>
    </w:p>
    <w:p w:rsidR="005C5775" w:rsidRPr="005C5775" w:rsidRDefault="005C5775" w:rsidP="005C5775">
      <w:pPr>
        <w:jc w:val="both"/>
        <w:rPr>
          <w:rFonts w:ascii="Arial" w:hAnsi="Arial" w:cs="Arial"/>
          <w:sz w:val="32"/>
          <w:szCs w:val="32"/>
          <w:lang w:val="es-CL"/>
        </w:rPr>
      </w:pPr>
      <w:r w:rsidRPr="005C5775">
        <w:rPr>
          <w:rFonts w:ascii="Arial" w:hAnsi="Arial" w:cs="Arial"/>
          <w:sz w:val="32"/>
          <w:szCs w:val="32"/>
          <w:lang w:val="es-CL"/>
        </w:rPr>
        <w:t xml:space="preserve">Sin embargo, no fue hasta el cambio de milenio que el Consejo de Seguridad de las Naciones Unidas (el organismo internacional designado con la responsabilidad de mantener la paz y la seguridad) reconoció formalmente que las mujeres, no </w:t>
      </w:r>
      <w:r w:rsidRPr="005C5775">
        <w:rPr>
          <w:rFonts w:ascii="Arial" w:hAnsi="Arial" w:cs="Arial"/>
          <w:sz w:val="32"/>
          <w:szCs w:val="32"/>
          <w:lang w:val="es-CL"/>
        </w:rPr>
        <w:lastRenderedPageBreak/>
        <w:t>sólo los hombres, son importantes para la construcción de un mundo seguro y estable. La adopción de la Resolución 1325 del Consejo de Seguridad de las Naciones Unidas en octubre de 2000 atrajo una atención mundial sin precedentes a la difícil situación de las mujeres durante los conflictos armados, así como a la necesidad de asegurar su participación en los procesos de paz y seguridad. La Resolución 1325 del Consejo de Seguridad de las Naciones Unidas, por sus principios y alcance, planteó</w:t>
      </w:r>
      <w:r>
        <w:rPr>
          <w:rFonts w:ascii="Arial" w:hAnsi="Arial" w:cs="Arial"/>
          <w:sz w:val="32"/>
          <w:szCs w:val="32"/>
          <w:lang w:val="es-CL"/>
        </w:rPr>
        <w:t xml:space="preserve"> </w:t>
      </w:r>
      <w:r w:rsidRPr="005C5775">
        <w:rPr>
          <w:rFonts w:ascii="Arial" w:hAnsi="Arial" w:cs="Arial"/>
          <w:sz w:val="32"/>
          <w:szCs w:val="32"/>
          <w:lang w:val="es-CL"/>
        </w:rPr>
        <w:t>cuestiones importantes que, en muchos sentidos, desafiaron las nociones tradicionales de seguridad: ¿A quién va dirigida? ¿Cuál es la mejor manera de lograrla?</w:t>
      </w:r>
    </w:p>
    <w:p w:rsidR="005C5775" w:rsidRPr="005C5775" w:rsidRDefault="005C5775" w:rsidP="005C5775">
      <w:pPr>
        <w:jc w:val="both"/>
        <w:rPr>
          <w:rFonts w:ascii="Arial" w:hAnsi="Arial" w:cs="Arial"/>
          <w:sz w:val="32"/>
          <w:szCs w:val="32"/>
          <w:lang w:val="es-CL"/>
        </w:rPr>
      </w:pPr>
      <w:r w:rsidRPr="005C5775">
        <w:rPr>
          <w:rFonts w:ascii="Arial" w:hAnsi="Arial" w:cs="Arial"/>
          <w:sz w:val="32"/>
          <w:szCs w:val="32"/>
          <w:lang w:val="es-CL"/>
        </w:rPr>
        <w:t xml:space="preserve">Desde entonces, el Consejo de Seguridad de las Naciones Unidas ha adoptado una serie de resoluciones que conforman la agenda internacional sobre las mujeres, la paz y la seguridad.1 A nivel nacional, unos setenta países han adoptado planes de acción nacionales (PAN) que detallan las prioridades y los enfoques para implementar el marco de la Resolución 1325 del Consejo de Seguridad de las Naciones Unidas. A pesar de estos importantes avances normativos y de políticas, la brecha entre la visión y la realidad sigue siendo profunda. El influyente Estudio Global 2015, producido por ONU Mujeres para conmemorar el decimoquinto aniversario de la resolución 1325 del Consejo de Seguridad de las Naciones Unidas, identifica la implementación inconsistente y la implementación insuficiente como los desafíos más persistentes y prevalecientes. Existen innumerables explicaciones para la brecha de implementación, como la falta de voluntad política, la parálisis institucional, la competencia por recursos limitados, las realidades geopolíticas, los malentendidos conceptuales y otros factores, pero uno que es particularmente relevante para este volumen editado es el </w:t>
      </w:r>
      <w:r w:rsidRPr="005C5775">
        <w:rPr>
          <w:rFonts w:ascii="Arial" w:hAnsi="Arial" w:cs="Arial"/>
          <w:sz w:val="32"/>
          <w:szCs w:val="32"/>
          <w:lang w:val="es-CL"/>
        </w:rPr>
        <w:lastRenderedPageBreak/>
        <w:t>intercambio inadecuado de las mejores prácticas y las lecciones aprendidas entre los países y las regiones.</w:t>
      </w:r>
    </w:p>
    <w:p w:rsidR="005C5775" w:rsidRPr="005C5775" w:rsidRDefault="005C5775" w:rsidP="005C5775">
      <w:pPr>
        <w:jc w:val="both"/>
        <w:rPr>
          <w:rFonts w:ascii="Arial" w:hAnsi="Arial" w:cs="Arial"/>
          <w:sz w:val="32"/>
          <w:szCs w:val="32"/>
          <w:lang w:val="es-CL"/>
        </w:rPr>
      </w:pPr>
      <w:r w:rsidRPr="005C5775">
        <w:rPr>
          <w:rFonts w:ascii="Arial" w:hAnsi="Arial" w:cs="Arial"/>
          <w:sz w:val="32"/>
          <w:szCs w:val="32"/>
          <w:lang w:val="es-CL"/>
        </w:rPr>
        <w:t xml:space="preserve">Las operaciones militares, ya sean de guerra o de mantenimiento de la paz, son, sin duda, el sector en el que se ha logrado la menor cantidad de progreso global. Este volumen tiene como objetivo llenar una laguna en la investigación mediante la investigación, la documentación y el análisis del papel de las mujeres y el género en las organizaciones y operaciones militares. El alcance del volumen, por lo tanto, abarca (1) la apertura de las fuerzas armadas nacionales a las mujeres, (2) la integración de las perspectivas de género en las operaciones militares y (3) la implementación de la resolución 1325 del Consejo de Seguridad de las Naciones Unidas en las organizaciones militares a nivel nacional e internacional. No todas estas dimensiones se abordan necesariamente en cada capítulo, pero las tres están interconectadas y es importante considerarlas en conjunto. Por “integración de las perspectivas de género” nos referimos al reconocimiento, aceptación y evaluación correspondiente de cómo las estructuras, políticas, mandatos de misión y cultura institucional afectan a hombres y mujeres de manera diferente. Esto incluye tanto dentro de las organizaciones militares como en el campo de operaciones. Nuestro objetivo es promover la comprensión entre académicos y profesionales sobre la implementación de reformas en las organizaciones militares con respecto a las mujeres y el género, incluida la inclusión de las mujeres y la implementación de perspectivas de género a nivel nacional e internacional. Al hacerlo, esperamos contribuir al creciente corpus de investigaciones en este campo, iniciado por una serie de académicos que se han centrado en cuestiones relacionadas, como la naturaleza de género de la lucha bélica, el aislamiento histórico de las mujeres para desempeñar </w:t>
      </w:r>
      <w:r w:rsidRPr="005C5775">
        <w:rPr>
          <w:rFonts w:ascii="Arial" w:hAnsi="Arial" w:cs="Arial"/>
          <w:sz w:val="32"/>
          <w:szCs w:val="32"/>
          <w:lang w:val="es-CL"/>
        </w:rPr>
        <w:lastRenderedPageBreak/>
        <w:t>funciones de apoyo en los ejércitos nacionales y las formas lentas y complicadas en que se han puesto en práctica las consideraciones de género en las misiones.2</w:t>
      </w:r>
    </w:p>
    <w:p w:rsidR="008E41B1" w:rsidRPr="008E41B1" w:rsidRDefault="005C5775" w:rsidP="008E41B1">
      <w:pPr>
        <w:jc w:val="both"/>
        <w:rPr>
          <w:rFonts w:ascii="Arial" w:hAnsi="Arial" w:cs="Arial"/>
          <w:sz w:val="32"/>
          <w:szCs w:val="32"/>
          <w:lang w:val="es-CL"/>
        </w:rPr>
      </w:pPr>
      <w:r w:rsidRPr="005C5775">
        <w:rPr>
          <w:rFonts w:ascii="Arial" w:hAnsi="Arial" w:cs="Arial"/>
          <w:sz w:val="32"/>
          <w:szCs w:val="32"/>
          <w:lang w:val="es-CL"/>
        </w:rPr>
        <w:t xml:space="preserve">Para lograr nuestro objetivo general, el libro realiza una comparación de los procesos de integración en ocho países, así como en la ONU y la Organización del Tratado del Atlántico Norte (OTAN). No solo se proporcionan análisis detallados de los procesos en cada caso, sino que los estudios de caso también se centran en varias preguntas y variables de investigación comunes. En primer lugar, para proporcionar una estructura analítica para los casos, nos basamos en un marco desarrollado por primera vez por </w:t>
      </w:r>
      <w:proofErr w:type="spellStart"/>
      <w:r w:rsidRPr="005C5775">
        <w:rPr>
          <w:rFonts w:ascii="Arial" w:hAnsi="Arial" w:cs="Arial"/>
          <w:sz w:val="32"/>
          <w:szCs w:val="32"/>
          <w:lang w:val="es-CL"/>
        </w:rPr>
        <w:t>Louise</w:t>
      </w:r>
      <w:proofErr w:type="spellEnd"/>
      <w:r w:rsidRPr="005C5775">
        <w:rPr>
          <w:rFonts w:ascii="Arial" w:hAnsi="Arial" w:cs="Arial"/>
          <w:sz w:val="32"/>
          <w:szCs w:val="32"/>
          <w:lang w:val="es-CL"/>
        </w:rPr>
        <w:t xml:space="preserve"> </w:t>
      </w:r>
      <w:proofErr w:type="spellStart"/>
      <w:r w:rsidRPr="005C5775">
        <w:rPr>
          <w:rFonts w:ascii="Arial" w:hAnsi="Arial" w:cs="Arial"/>
          <w:sz w:val="32"/>
          <w:szCs w:val="32"/>
          <w:lang w:val="es-CL"/>
        </w:rPr>
        <w:t>Olsson</w:t>
      </w:r>
      <w:proofErr w:type="spellEnd"/>
      <w:r w:rsidRPr="005C5775">
        <w:rPr>
          <w:rFonts w:ascii="Arial" w:hAnsi="Arial" w:cs="Arial"/>
          <w:sz w:val="32"/>
          <w:szCs w:val="32"/>
          <w:lang w:val="es-CL"/>
        </w:rPr>
        <w:t xml:space="preserve"> en un estudio de 2008 sobre los esfuerzos del Grupo de Batalla Nórdico p</w:t>
      </w:r>
      <w:r w:rsidR="008E41B1">
        <w:rPr>
          <w:rFonts w:ascii="Arial" w:hAnsi="Arial" w:cs="Arial"/>
          <w:sz w:val="32"/>
          <w:szCs w:val="32"/>
          <w:lang w:val="es-CL"/>
        </w:rPr>
        <w:t>ara implementar la Resolución 1325</w:t>
      </w:r>
      <w:r w:rsidRPr="005C5775">
        <w:rPr>
          <w:rFonts w:ascii="Arial" w:hAnsi="Arial" w:cs="Arial"/>
          <w:sz w:val="32"/>
          <w:szCs w:val="32"/>
          <w:lang w:val="es-CL"/>
        </w:rPr>
        <w:t>.</w:t>
      </w:r>
      <w:r w:rsidR="008E41B1">
        <w:rPr>
          <w:rFonts w:ascii="Arial" w:hAnsi="Arial" w:cs="Arial"/>
          <w:sz w:val="32"/>
          <w:szCs w:val="32"/>
          <w:lang w:val="es-CL"/>
        </w:rPr>
        <w:t xml:space="preserve"> </w:t>
      </w:r>
      <w:r w:rsidR="008E41B1" w:rsidRPr="008E41B1">
        <w:rPr>
          <w:rFonts w:ascii="Arial" w:hAnsi="Arial" w:cs="Arial"/>
          <w:sz w:val="32"/>
          <w:szCs w:val="32"/>
          <w:lang w:val="es-CL"/>
        </w:rPr>
        <w:t xml:space="preserve">Ella estructuró su análisis en cuatro áreas de trabajo diferentes en una matriz clásica de 2 × 2 que también se aplica muy bien a este libro.3 El marco se resume en la tabla 1.1 y captura estos cuatro aspectos de la implementación de la resolución en dos dimensiones. La primera parte de la matriz captura la dimensión interna-externa, que se refiere a cómo las organizaciones militares están organizadas internamente y cómo están trabajando externamente para obtener ciertos resultados en el campo de operaciones. En esencia, por un lado, cómo está organizado el ejército, </w:t>
      </w:r>
      <w:proofErr w:type="gramStart"/>
      <w:r w:rsidR="008E41B1" w:rsidRPr="008E41B1">
        <w:rPr>
          <w:rFonts w:ascii="Arial" w:hAnsi="Arial" w:cs="Arial"/>
          <w:sz w:val="32"/>
          <w:szCs w:val="32"/>
          <w:lang w:val="es-CL"/>
        </w:rPr>
        <w:t>y</w:t>
      </w:r>
      <w:proofErr w:type="gramEnd"/>
      <w:r w:rsidR="008E41B1" w:rsidRPr="008E41B1">
        <w:rPr>
          <w:rFonts w:ascii="Arial" w:hAnsi="Arial" w:cs="Arial"/>
          <w:sz w:val="32"/>
          <w:szCs w:val="32"/>
          <w:lang w:val="es-CL"/>
        </w:rPr>
        <w:t xml:space="preserve"> por otro lado, qué hacen y cómo lo hacen. La segunda parte es transversal a la primera y cubre la representación-integración. Esto significa considerar la participación masculina y femenina por un lado y la integración de la resolución y perspectivas de género más amplias en las políticas y operaciones de las organizaciones.4</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 xml:space="preserve">En segundo lugar, de acuerdo con ese marco, los capítulos aquí examinan más de cerca un conjunto de preguntas de investigación comunes que son particularmente relevantes </w:t>
      </w:r>
      <w:r w:rsidRPr="008E41B1">
        <w:rPr>
          <w:rFonts w:ascii="Arial" w:hAnsi="Arial" w:cs="Arial"/>
          <w:sz w:val="32"/>
          <w:szCs w:val="32"/>
          <w:lang w:val="es-CL"/>
        </w:rPr>
        <w:lastRenderedPageBreak/>
        <w:t>para casos de países específicos: ¿De dónde vinieron la presión y las decisiones de cambio? ¿Quién, o qué departamento, se puso a cargo del proceso? ¿Se hizo hincapié en la integración de las mujeres o de las perspectivas de género, y de qué manera? ¿Quiénes fueron los agentes clave del cambio? ¿Cuáles fueron los mayores obstáculos? ¿Qué procesos o decisiones resultaron ser</w:t>
      </w:r>
    </w:p>
    <w:p w:rsidR="008E41B1" w:rsidRPr="008E41B1" w:rsidRDefault="008E41B1" w:rsidP="008E41B1">
      <w:pPr>
        <w:jc w:val="both"/>
        <w:rPr>
          <w:rFonts w:ascii="Arial" w:hAnsi="Arial" w:cs="Arial"/>
          <w:sz w:val="32"/>
          <w:szCs w:val="32"/>
          <w:lang w:val="es-CL"/>
        </w:rPr>
      </w:pP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esenciales o limitantes? ¿Se describió el objetivo del proceso como uno de mayor eficacia militar o igualdad de género? ¿Se utilizaron estrategias de cambio internas o externas? ¿Cómo encajan el momento y el ritmo del cambio en un contexto normativo y político internacional más amplio? Los capítulos de estudios de caso abordan estas preguntas y factores, lo que nos permite rastrear temas y patrones comunes, al mismo tiempo que son lo suficientemente flexibles para contar las historias únicas de cada caso. De este modo, el volumen logra un equilibrio entre la comparación estructurada y la cobertura de una variedad de consideraciones contextuales y desafíos involucrados en la implementación de perspectivas de género en asuntos militares.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Para ser claros, los diez casos incluidos en este volumen son notables, pero no son necesariamente representativos de la experiencia de cada país o región. Un análisis global detallado está más allá del alcance de nuestro empeño, pero al rastrear y comparar los procesos en los casos seleccionados, el libro destaca algunos de los enfoques adoptados y adaptados para promover la integración y el equilibrio de género, así como sus límites.</w:t>
      </w:r>
    </w:p>
    <w:p w:rsidR="00F40C3B" w:rsidRDefault="008E41B1" w:rsidP="008E41B1">
      <w:pPr>
        <w:jc w:val="both"/>
        <w:rPr>
          <w:rFonts w:ascii="Arial" w:hAnsi="Arial" w:cs="Arial"/>
          <w:sz w:val="32"/>
          <w:szCs w:val="32"/>
          <w:lang w:val="es-CL"/>
        </w:rPr>
      </w:pPr>
      <w:r w:rsidRPr="008E41B1">
        <w:rPr>
          <w:rFonts w:ascii="Arial" w:hAnsi="Arial" w:cs="Arial"/>
          <w:sz w:val="32"/>
          <w:szCs w:val="32"/>
          <w:lang w:val="es-CL"/>
        </w:rPr>
        <w:t xml:space="preserve">La naturaleza y los enfoques de los esfuerzos de implementación han variado ampliamente dentro y entre </w:t>
      </w:r>
      <w:r w:rsidRPr="008E41B1">
        <w:rPr>
          <w:rFonts w:ascii="Arial" w:hAnsi="Arial" w:cs="Arial"/>
          <w:sz w:val="32"/>
          <w:szCs w:val="32"/>
          <w:lang w:val="es-CL"/>
        </w:rPr>
        <w:lastRenderedPageBreak/>
        <w:t>contextos. Algunos países se centran en la integración de las mujeres en toda la organización, mientras que otros enfatizan la importancia de las perspectivas de género en las operaciones, algo que no necesariamente requiere la participación femenina. Algunos justifican el proceso con argumentos basados ​​en los derechos sobre la importancia del empoderamiento de las mujeres y la igualdad de género, mientras que otros destacan la efectividad operativa como la razón principal para el cambio. Algunas fuerzas armadas han estado sujetas a presión externa, mientras que otras cambian como resultado de impulsores internos. Esta variación en los procesos de cambio aún no se ha estudiado y evaluado sistemáticamente, lo que significa que sabemos poco sobre lo que funciona y lo que no, o qué tipo de impacto tienen los procesos de cambio en las organizaciones y su conducta en el campo de operaciones. ¿Es posible encontrar ya evidencia de que estos procesos de implementación conducen a un mayor número de mujeres, a una evolución de las culturas organizacionales o a una mayor eficacia operativa? Si bien los efectos pueden ser difíciles de medir o cuantificar, comprender no solo por qu</w:t>
      </w:r>
      <w:r>
        <w:rPr>
          <w:rFonts w:ascii="Arial" w:hAnsi="Arial" w:cs="Arial"/>
          <w:sz w:val="32"/>
          <w:szCs w:val="32"/>
          <w:lang w:val="es-CL"/>
        </w:rPr>
        <w:t xml:space="preserve">é, sino también cómo, el cambio </w:t>
      </w:r>
      <w:r w:rsidRPr="008E41B1">
        <w:rPr>
          <w:rFonts w:ascii="Arial" w:hAnsi="Arial" w:cs="Arial"/>
          <w:sz w:val="32"/>
          <w:szCs w:val="32"/>
          <w:lang w:val="es-CL"/>
        </w:rPr>
        <w:t>se produce dentro de las organizaciones militares es crucial para crear y mantener iniciativas efectivas y optimizar las intervenciones en esfuerzos futuros.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Cuadro 1.1: Marco con cuatro áreas de trabajo para la implementación de la resolución 1325 del Consejo de Seguridad de las Naciones Unidas</w:t>
      </w:r>
    </w:p>
    <w:p w:rsidR="008E41B1" w:rsidRPr="008E41B1" w:rsidRDefault="008E41B1" w:rsidP="008E41B1">
      <w:pPr>
        <w:jc w:val="both"/>
        <w:rPr>
          <w:rFonts w:ascii="Arial" w:hAnsi="Arial" w:cs="Arial"/>
          <w:sz w:val="32"/>
          <w:szCs w:val="32"/>
          <w:lang w:val="es-CL"/>
        </w:rPr>
      </w:pP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Representación Integración</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Interna (es decir, los aspectos internos de la organización militar) Mapeo de políticas e igualdad de oportunidades: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lastRenderedPageBreak/>
        <w:t>•Personal masculino y femenino: todas las funciones y niveles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•Ambiente de trabajo</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•Acceso a recursos y material Estructura de trabajo de las misiones y operaciones de la OTAN:</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•Capacitación</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•Análisis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•Planificación</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•Informes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•Evaluación y desarrollo de políticas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Externa (es decir, cómo la organización militar lleva a cabo operaciones y misiones) Enlace, inteligencia y apoyo:</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•Interacción con hombres y mujeres locales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•Cooperación y promoción de socios locales, incluidas las organizaciones de mujeres Mandato, interpretación y ejecución:</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•Cómo se seleccionan y priorizan las principales asignaciones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•Ejecución de las asignaciones seleccionadas y priorizadas</w:t>
      </w:r>
    </w:p>
    <w:p w:rsidR="008E41B1" w:rsidRDefault="008E41B1" w:rsidP="008E41B1">
      <w:pPr>
        <w:jc w:val="both"/>
        <w:rPr>
          <w:rFonts w:ascii="Arial" w:hAnsi="Arial" w:cs="Arial"/>
          <w:sz w:val="32"/>
          <w:szCs w:val="32"/>
        </w:rPr>
      </w:pPr>
      <w:r w:rsidRPr="008E41B1">
        <w:rPr>
          <w:rFonts w:ascii="Arial" w:hAnsi="Arial" w:cs="Arial"/>
          <w:sz w:val="32"/>
          <w:szCs w:val="32"/>
        </w:rPr>
        <w:t>•</w:t>
      </w:r>
      <w:proofErr w:type="spellStart"/>
      <w:r w:rsidRPr="008E41B1">
        <w:rPr>
          <w:rFonts w:ascii="Arial" w:hAnsi="Arial" w:cs="Arial"/>
          <w:sz w:val="32"/>
          <w:szCs w:val="32"/>
        </w:rPr>
        <w:t>Adaptación</w:t>
      </w:r>
      <w:proofErr w:type="spellEnd"/>
      <w:r w:rsidRPr="008E41B1">
        <w:rPr>
          <w:rFonts w:ascii="Arial" w:hAnsi="Arial" w:cs="Arial"/>
          <w:sz w:val="32"/>
          <w:szCs w:val="32"/>
        </w:rPr>
        <w:t xml:space="preserve"> a </w:t>
      </w:r>
      <w:proofErr w:type="spellStart"/>
      <w:r w:rsidRPr="008E41B1">
        <w:rPr>
          <w:rFonts w:ascii="Arial" w:hAnsi="Arial" w:cs="Arial"/>
          <w:sz w:val="32"/>
          <w:szCs w:val="32"/>
        </w:rPr>
        <w:t>los</w:t>
      </w:r>
      <w:proofErr w:type="spellEnd"/>
      <w:r w:rsidRPr="008E41B1">
        <w:rPr>
          <w:rFonts w:ascii="Arial" w:hAnsi="Arial" w:cs="Arial"/>
          <w:sz w:val="32"/>
          <w:szCs w:val="32"/>
        </w:rPr>
        <w:t xml:space="preserve"> </w:t>
      </w:r>
      <w:proofErr w:type="spellStart"/>
      <w:r w:rsidRPr="008E41B1">
        <w:rPr>
          <w:rFonts w:ascii="Arial" w:hAnsi="Arial" w:cs="Arial"/>
          <w:sz w:val="32"/>
          <w:szCs w:val="32"/>
        </w:rPr>
        <w:t>desarrollos</w:t>
      </w:r>
      <w:proofErr w:type="spellEnd"/>
      <w:r w:rsidRPr="008E41B1">
        <w:rPr>
          <w:rFonts w:ascii="Arial" w:hAnsi="Arial" w:cs="Arial"/>
          <w:sz w:val="32"/>
          <w:szCs w:val="32"/>
        </w:rPr>
        <w:t xml:space="preserve"> locales</w:t>
      </w:r>
    </w:p>
    <w:p w:rsidR="008E41B1" w:rsidRDefault="008E41B1" w:rsidP="008E41B1">
      <w:pPr>
        <w:jc w:val="both"/>
        <w:rPr>
          <w:rFonts w:ascii="Arial" w:hAnsi="Arial" w:cs="Arial"/>
          <w:sz w:val="32"/>
          <w:szCs w:val="32"/>
        </w:rPr>
      </w:pP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 xml:space="preserve">Como se puede apreciar en los capítulos siguientes, muchos de los avances logrados hasta la fecha –especialmente en lo que respecta a la apertura de las fuerzas armadas a las mujeres– ocurrieron antes de la adopción de la resolución 1325 del Consejo de Seguridad de las Naciones Unidas. En cambio, estos procesos fueron el resultado de cambios sociales más amplios que aumentaron la igualdad de género y los derechos </w:t>
      </w:r>
      <w:r w:rsidRPr="008E41B1">
        <w:rPr>
          <w:rFonts w:ascii="Arial" w:hAnsi="Arial" w:cs="Arial"/>
          <w:sz w:val="32"/>
          <w:szCs w:val="32"/>
          <w:lang w:val="es-CL"/>
        </w:rPr>
        <w:lastRenderedPageBreak/>
        <w:t>de las mujeres. Estos cambios se codificaron tanto a nivel internacional, con la Convención sobre la eliminación de todas las formas de discriminación contra la mujer (CEDAW) de 1979, como a nivel nacional con la Ley de igualdad sueca de 1980, la Ley de integración de las mujeres en las fuerzas armadas de los Estados Unidos de 1948 o la Ley de discriminación sexual de Australia de 1984, por citar algunos ejemplos.</w:t>
      </w:r>
    </w:p>
    <w:p w:rsidR="008E41B1" w:rsidRPr="008E41B1" w:rsidRDefault="008E41B1" w:rsidP="008E41B1">
      <w:pPr>
        <w:jc w:val="both"/>
        <w:rPr>
          <w:rFonts w:ascii="Arial" w:hAnsi="Arial" w:cs="Arial"/>
          <w:sz w:val="32"/>
          <w:szCs w:val="32"/>
          <w:lang w:val="es-CL"/>
        </w:rPr>
      </w:pPr>
      <w:r w:rsidRPr="008E41B1">
        <w:rPr>
          <w:rFonts w:ascii="Arial" w:hAnsi="Arial" w:cs="Arial"/>
          <w:sz w:val="32"/>
          <w:szCs w:val="32"/>
          <w:lang w:val="es-CL"/>
        </w:rPr>
        <w:t>Sin embargo, en los últimos quince años ha habido un creciente reconocimiento de que la implementación de la agenda de las mujeres, la paz y la seguridad requerirá no sólo la cooperación entre los Estados, sino también el aprendizaje mutuo y el intercambio de lecciones. En consecuencia, los autores destacan los obstáculos organizacionales prevalecientes, pero también las posibles oportunidades de colaboración entre instituciones y países. Los casos también ponen de relieve el papel y el impacto de los agentes de cambio individuales en puestos de liderazgo dentro de las organizaciones que idearon estrategias para promover la igualdad y la eficacia, y los obstáculos que enfrentaron al instituir el cambio organizacional.</w:t>
      </w:r>
    </w:p>
    <w:p w:rsidR="008E41B1" w:rsidRDefault="008E41B1" w:rsidP="008E41B1">
      <w:pPr>
        <w:jc w:val="both"/>
        <w:rPr>
          <w:rFonts w:ascii="Arial" w:hAnsi="Arial" w:cs="Arial"/>
          <w:sz w:val="32"/>
          <w:szCs w:val="32"/>
          <w:lang w:val="es-CL"/>
        </w:rPr>
      </w:pPr>
      <w:r w:rsidRPr="008E41B1">
        <w:rPr>
          <w:rFonts w:ascii="Arial" w:hAnsi="Arial" w:cs="Arial"/>
          <w:sz w:val="32"/>
          <w:szCs w:val="32"/>
          <w:lang w:val="es-CL"/>
        </w:rPr>
        <w:t>Un estudio comparativo, especialmente un volumen editado, requiere un marco de análisis que permita la comparación de casos y produzca un volumen coherente. Con ese fin, aquí adoptamos un enfoque integrado para el análisis, basándonos tanto en teorías feministas como militares, que, en conjunto, proporcionan la base teórica para el volumen.</w:t>
      </w:r>
    </w:p>
    <w:p w:rsidR="0035129A" w:rsidRDefault="0035129A" w:rsidP="008E41B1">
      <w:pPr>
        <w:jc w:val="both"/>
        <w:rPr>
          <w:rFonts w:ascii="Arial" w:hAnsi="Arial" w:cs="Arial"/>
          <w:b/>
          <w:sz w:val="32"/>
          <w:szCs w:val="32"/>
          <w:lang w:val="es-CL"/>
        </w:rPr>
      </w:pPr>
      <w:r w:rsidRPr="0035129A">
        <w:rPr>
          <w:rFonts w:ascii="Arial" w:hAnsi="Arial" w:cs="Arial"/>
          <w:b/>
          <w:sz w:val="32"/>
          <w:szCs w:val="32"/>
          <w:lang w:val="es-CL"/>
        </w:rPr>
        <w:t>Conexión entre género y eficacia militar</w:t>
      </w:r>
    </w:p>
    <w:p w:rsidR="0035129A" w:rsidRPr="0035129A" w:rsidRDefault="0035129A" w:rsidP="0035129A">
      <w:pPr>
        <w:jc w:val="both"/>
        <w:rPr>
          <w:rFonts w:ascii="Arial" w:hAnsi="Arial" w:cs="Arial"/>
          <w:sz w:val="32"/>
          <w:szCs w:val="32"/>
          <w:lang w:val="es-CL"/>
        </w:rPr>
      </w:pPr>
      <w:r w:rsidRPr="0035129A">
        <w:rPr>
          <w:rFonts w:ascii="Arial" w:hAnsi="Arial" w:cs="Arial"/>
          <w:sz w:val="32"/>
          <w:szCs w:val="32"/>
          <w:lang w:val="es-CL"/>
        </w:rPr>
        <w:t xml:space="preserve">A primera vista, el género y la eficacia militar pueden parecer cuestiones que están muy alejadas de la realidad. Sin embargo, la eficacia militar es un ámbito de investigación y </w:t>
      </w:r>
      <w:r w:rsidRPr="0035129A">
        <w:rPr>
          <w:rFonts w:ascii="Arial" w:hAnsi="Arial" w:cs="Arial"/>
          <w:sz w:val="32"/>
          <w:szCs w:val="32"/>
          <w:lang w:val="es-CL"/>
        </w:rPr>
        <w:lastRenderedPageBreak/>
        <w:t xml:space="preserve">práctica muy marcado por el género. Los estudios feministas internacionales se han preocupado durante mucho tiempo por la cultura </w:t>
      </w:r>
      <w:proofErr w:type="spellStart"/>
      <w:r w:rsidRPr="0035129A">
        <w:rPr>
          <w:rFonts w:ascii="Arial" w:hAnsi="Arial" w:cs="Arial"/>
          <w:sz w:val="32"/>
          <w:szCs w:val="32"/>
          <w:lang w:val="es-CL"/>
        </w:rPr>
        <w:t>hipermasculinizada</w:t>
      </w:r>
      <w:proofErr w:type="spellEnd"/>
      <w:r w:rsidRPr="0035129A">
        <w:rPr>
          <w:rFonts w:ascii="Arial" w:hAnsi="Arial" w:cs="Arial"/>
          <w:sz w:val="32"/>
          <w:szCs w:val="32"/>
          <w:lang w:val="es-CL"/>
        </w:rPr>
        <w:t xml:space="preserve"> de las organizaciones militares y las formas en que la lucha bélica se cruza con el patriarcado.5 Es importante reconocer que existen escuelas de pensamiento diferentes y a veces divergentes bajo el paraguas de los estudios feministas, al igual que ocurre con los estudios militares. Creemos que es importante distinguir entre estas diferentes perspectivas y abstenerse de pintarlas con una brocha gorda de generalizaciones. Algunos expertos en eficacia militar, por ejemplo, pueden tratar las preocupaciones relacionadas con la inclusión de las mujeres, la integración de las perspectivas de género y la aplicación de la resolución 1325 del Consejo de Seguridad de las Naciones Unidas como marginales en el mejor de los casos y propicias a la reducción del poder de combate en el peor de los casos, mientras que otros pueden reconocerlas como un ámbito de crecimiento y evolución. De manera similar, algunas académicas feministas pueden no ver la necesidad de centrarse en el papel de las mujeres y el género en las organizaciones militares porque no están de acuerdo con la existencia de los ejércitos y la violencia como herramientas de orden y estabilidad en general. Algunas pueden abordar el conjunto de cuestiones que abordamos en este volumen como si se tratara principalmente de derechos e igualdad, mientras que otras pueden adoptar un enfoque instrumentalista basado en la estrategia y la utilidad.</w:t>
      </w:r>
    </w:p>
    <w:p w:rsidR="0035129A" w:rsidRPr="0035129A" w:rsidRDefault="0035129A" w:rsidP="0035129A">
      <w:pPr>
        <w:jc w:val="both"/>
        <w:rPr>
          <w:rFonts w:ascii="Arial" w:hAnsi="Arial" w:cs="Arial"/>
          <w:sz w:val="32"/>
          <w:szCs w:val="32"/>
          <w:lang w:val="es-CL"/>
        </w:rPr>
      </w:pPr>
    </w:p>
    <w:p w:rsidR="0035129A" w:rsidRPr="0035129A" w:rsidRDefault="0035129A" w:rsidP="0035129A">
      <w:pPr>
        <w:jc w:val="both"/>
        <w:rPr>
          <w:rFonts w:ascii="Arial" w:hAnsi="Arial" w:cs="Arial"/>
          <w:sz w:val="32"/>
          <w:szCs w:val="32"/>
          <w:lang w:val="es-CL"/>
        </w:rPr>
      </w:pPr>
      <w:r w:rsidRPr="0035129A">
        <w:rPr>
          <w:rFonts w:ascii="Arial" w:hAnsi="Arial" w:cs="Arial"/>
          <w:sz w:val="32"/>
          <w:szCs w:val="32"/>
          <w:lang w:val="es-CL"/>
        </w:rPr>
        <w:t xml:space="preserve">Sostenemos que las opiniones de suma cero son inexactas en el ámbito de la investigación y poco útiles en la búsqueda de la seguridad y la estabilidad internacionales. Por ejemplo, reducir la integración de las mujeres en las fuerzas armadas o la puesta en práctica de la integración de la perspectiva de </w:t>
      </w:r>
      <w:r w:rsidRPr="0035129A">
        <w:rPr>
          <w:rFonts w:ascii="Arial" w:hAnsi="Arial" w:cs="Arial"/>
          <w:sz w:val="32"/>
          <w:szCs w:val="32"/>
          <w:lang w:val="es-CL"/>
        </w:rPr>
        <w:lastRenderedPageBreak/>
        <w:t>género como poco más que formas de acción afirmativa no sólo tergiversa la visión multidimensional de la Resolución 1325 del Consejo de Seguridad de las Naciones Unidas, sino que también ofrece poco poder explicativo para estudiar el cambio. Al mismo tiempo, las opiniones feministas que vilipendian sumariamente a los militares, aborrecen la inclusión de las mujeres en las fuerzas armadas o descartan la integración de la perspectiva de género en las operaciones militares son reduccionistas y poco constructivas. En resumen, las posiciones extremas sin control, independientemente de sus fundamentos teóricos, no nos llevan muy lejos. Las distintas partes tienen mucho que aprender unas de otras y hay muchas sinergias por explorar. Por lo tanto, analicemos cómo las perspectivas de género pueden mejorar la eficacia operativa y luego veamos cómo las organizaciones militares pueden apoyar la implementación de las perspectivas de género, los derechos de las mujeres y la participación, tal como se prescribe en el conjunto de resoluciones del Consejo de Seguridad de las Naciones Unidas, comenzando por la 1325 y los PAN. Sin embargo, primero es importante considerar qué significa la eficacia militar en el contexto estratégico contemporáneo y por qué es importante.</w:t>
      </w:r>
      <w:bookmarkStart w:id="0" w:name="_GoBack"/>
      <w:bookmarkEnd w:id="0"/>
    </w:p>
    <w:sectPr w:rsidR="0035129A" w:rsidRPr="0035129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0C3B"/>
    <w:rsid w:val="0035129A"/>
    <w:rsid w:val="005C5775"/>
    <w:rsid w:val="008E41B1"/>
    <w:rsid w:val="009124B3"/>
    <w:rsid w:val="00D40867"/>
    <w:rsid w:val="00F40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4B02A"/>
  <w15:chartTrackingRefBased/>
  <w15:docId w15:val="{EE347EF9-CCC6-4E32-881B-4578EE9B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10</Pages>
  <Words>2455</Words>
  <Characters>13994</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Lorena</dc:creator>
  <cp:keywords/>
  <dc:description/>
  <cp:lastModifiedBy>Lorena</cp:lastModifiedBy>
  <cp:revision>4</cp:revision>
  <dcterms:created xsi:type="dcterms:W3CDTF">2024-11-11T04:15:00Z</dcterms:created>
  <dcterms:modified xsi:type="dcterms:W3CDTF">2024-11-11T05:04:00Z</dcterms:modified>
</cp:coreProperties>
</file>