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t xml:space="preserve">Comentario crítico:</w:t>
      </w:r>
    </w:p>
    <w:p w:rsidR="00000000" w:rsidDel="00000000" w:rsidP="00000000" w:rsidRDefault="00000000" w:rsidRPr="00000000" w14:paraId="00000002">
      <w:pPr>
        <w:rPr/>
      </w:pPr>
      <w:r w:rsidDel="00000000" w:rsidR="00000000" w:rsidRPr="00000000">
        <w:rPr>
          <w:rtl w:val="0"/>
        </w:rPr>
        <w:t xml:space="preserve">Nombres: </w:t>
      </w:r>
    </w:p>
    <w:p w:rsidR="00000000" w:rsidDel="00000000" w:rsidP="00000000" w:rsidRDefault="00000000" w:rsidRPr="00000000" w14:paraId="00000003">
      <w:pPr>
        <w:numPr>
          <w:ilvl w:val="0"/>
          <w:numId w:val="1"/>
        </w:numPr>
        <w:ind w:left="720" w:hanging="360"/>
        <w:rPr>
          <w:u w:val="none"/>
        </w:rPr>
      </w:pPr>
      <w:r w:rsidDel="00000000" w:rsidR="00000000" w:rsidRPr="00000000">
        <w:rPr>
          <w:rtl w:val="0"/>
        </w:rPr>
        <w:t xml:space="preserve">Elias Ottermann</w:t>
      </w:r>
    </w:p>
    <w:p w:rsidR="00000000" w:rsidDel="00000000" w:rsidP="00000000" w:rsidRDefault="00000000" w:rsidRPr="00000000" w14:paraId="00000004">
      <w:pPr>
        <w:numPr>
          <w:ilvl w:val="0"/>
          <w:numId w:val="1"/>
        </w:numPr>
        <w:ind w:left="720" w:hanging="360"/>
        <w:rPr>
          <w:u w:val="none"/>
        </w:rPr>
      </w:pPr>
      <w:r w:rsidDel="00000000" w:rsidR="00000000" w:rsidRPr="00000000">
        <w:rPr>
          <w:rtl w:val="0"/>
        </w:rPr>
        <w:t xml:space="preserve">Rodolfo Gysling</w:t>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t xml:space="preserve">La investigación analiza cómo la población preadolescente y adolescente (entre 8 y 16 años) consume contenidos de “influencers” y cómo esta práctica influye en la asimilación de estereotipos de género. A través de una encuesta cuantitativa a 800 personas menores de edad en España, el equipo de investigación examinó variables como el tiempo de uso, las plataformas preferidas y las temáticas seguidas. Principalmente, el artículo indica que existe una tendencia generalizada a reproducir comportamientos y preferencias que refuerzan las visiones tradicionales de masculinidad y feminidad, tales como el interés de los varones por los videojuegos y deportes frente al de las mujeres por la moda y la estética.</w:t>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t xml:space="preserve">Este artículo ofrece una contribución significativa a la investigación sobre el uso de tecnología en la población joven, con un enfoque especial en las etapas tempranas. Evidencia cómo el vínculo afectivo y de admiración con figuras de influencia actúa como un potente agente de socialización, donde las personas menores buscan modelos de referencia con los que identificarse según su sexo. Asimismo, aporta datos específicos sobre la segmentación de las plataformas digitales: Twitch y YouTube muestran una notable tendencia masculina, mientras que Instagram presenta una marcada preferencia femenina, lo que permite mapear las preferencias digitales actuales.</w:t>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t xml:space="preserve">Como bien mencionan los autores, el estudio es de naturaleza transversal, lo que limita la capacidad de observar la evolución de estas tendencias en el tiempo. Por ende, sería deseable un enfoque a largo plazo para determinar si estos estereotipos se moderan o se intensifican al entrar en la adultez, además de contrastar estos hallazgos con las tendencias digitales de otras generaciones. El estudio deja abierta la interrogante sobre las razones de estas preferencias. Por ello, sería ideal integrar factores como la presión social o la falta de referentes diversos en ciertos nichos digitales, elementos que podrían profundizar aún más el análisis.</w:t>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t xml:space="preserve">En conclusión, el estudio revela una paradoja presente en la era digital: Aunque la juventud utiliza tecnologías innovadoras, estas se han convertido en espacios que reproducen lógicas de género tradicionales.</w:t>
      </w:r>
    </w:p>
    <w:p w:rsidR="00000000" w:rsidDel="00000000" w:rsidP="00000000" w:rsidRDefault="00000000" w:rsidRPr="00000000" w14:paraId="0000000D">
      <w:pPr>
        <w:rPr/>
      </w:pPr>
      <w:r w:rsidDel="00000000" w:rsidR="00000000" w:rsidRPr="00000000">
        <w:rPr>
          <w:rtl w:val="0"/>
        </w:rPr>
        <w:t xml:space="preserve">Se confirma que las figuras de influencia no solo generan contenido, sino que actúan como líderes de opinión fundamentales en la construcción de la identidad de sus seguidores. Dada la vulnerabilidad de la población menor en estas etapas de formación, es imperativo tomar conciencia del peso de estos modelos como referentes de conducta. El objetivo primordial es promover un pensamiento autónomo que permita a la población joven explorar su identidad con libertad, sin verse limitada por la división tradicional de lo que la sociedad etiqueta como propio de hombres o mujeres. Esto resulta vital en un contexto donde las redes sociales se han consolidado como el escenario principal de socialización y formación del ser.</w:t>
      </w:r>
    </w:p>
    <w:p w:rsidR="00000000" w:rsidDel="00000000" w:rsidP="00000000" w:rsidRDefault="00000000" w:rsidRPr="00000000" w14:paraId="0000000E">
      <w:pPr>
        <w:rPr/>
      </w:pPr>
      <w:r w:rsidDel="00000000" w:rsidR="00000000" w:rsidRPr="00000000">
        <w:rPr>
          <w:rtl w:val="0"/>
        </w:rPr>
        <w:t xml:space="preserve">Finalmente, la configuración del autoconcepto de género no debe quedar supeditada a modelos digitales que perpetúan desigualdades. Es necesario recuperar el protagonismo de la realidad tangible y la interacción humana directa, habilitando espacios donde el juego y la convivencia permitan una exploración libre de preferencias, lejos de la presión pública y los filtros normativos presentes en las plataformas digitales</w:t>
      </w:r>
    </w:p>
    <w:p w:rsidR="00000000" w:rsidDel="00000000" w:rsidP="00000000" w:rsidRDefault="00000000" w:rsidRPr="00000000" w14:paraId="0000000F">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s_419"/>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