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C61C1" w14:textId="56203E83" w:rsidR="003D1F88" w:rsidRPr="00666C7B" w:rsidRDefault="003D1F88" w:rsidP="003D1F88">
      <w:pPr>
        <w:jc w:val="center"/>
        <w:rPr>
          <w:rFonts w:ascii="Arial" w:hAnsi="Arial" w:cs="Arial"/>
          <w:sz w:val="28"/>
          <w:szCs w:val="28"/>
        </w:rPr>
      </w:pPr>
      <w:r w:rsidRPr="00666C7B">
        <w:rPr>
          <w:rFonts w:ascii="Arial" w:hAnsi="Arial" w:cs="Arial"/>
          <w:sz w:val="28"/>
          <w:szCs w:val="28"/>
        </w:rPr>
        <w:t>TRABAJO DE OPTIMIZACIÓN DEL CONSUMO DE COMBUSTIBLE</w:t>
      </w:r>
      <w:r w:rsidRPr="00666C7B">
        <w:rPr>
          <w:rFonts w:ascii="Arial" w:hAnsi="Arial" w:cs="Arial"/>
          <w:sz w:val="28"/>
          <w:szCs w:val="28"/>
        </w:rPr>
        <w:br/>
      </w:r>
    </w:p>
    <w:p w14:paraId="745D5B26" w14:textId="37826419" w:rsidR="003D1F88" w:rsidRPr="00666C7B" w:rsidRDefault="003D1F88" w:rsidP="003D1F88">
      <w:pPr>
        <w:jc w:val="center"/>
        <w:rPr>
          <w:rFonts w:ascii="Arial" w:hAnsi="Arial" w:cs="Arial"/>
          <w:sz w:val="28"/>
          <w:szCs w:val="28"/>
        </w:rPr>
      </w:pPr>
      <w:r w:rsidRPr="00666C7B">
        <w:rPr>
          <w:rFonts w:ascii="Arial" w:hAnsi="Arial" w:cs="Arial"/>
          <w:sz w:val="28"/>
          <w:szCs w:val="28"/>
        </w:rPr>
        <w:t>RESUMEN EJECUTIVO OPTIMIZACIÓN DEL USO DE COMBUSTIBLE EN LA ARMADA BRITÁNICA</w:t>
      </w:r>
    </w:p>
    <w:p w14:paraId="3DB88903" w14:textId="473C089E"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Pr>
          <w:rFonts w:ascii="Arial" w:eastAsia="Times New Roman" w:hAnsi="Arial" w:cs="Arial"/>
          <w:sz w:val="24"/>
          <w:szCs w:val="24"/>
          <w:lang w:eastAsia="es-CL"/>
        </w:rPr>
        <w:t>L</w:t>
      </w:r>
      <w:r w:rsidRPr="00221BDD">
        <w:rPr>
          <w:rFonts w:ascii="Arial" w:eastAsia="Times New Roman" w:hAnsi="Arial" w:cs="Arial"/>
          <w:sz w:val="24"/>
          <w:szCs w:val="24"/>
          <w:lang w:eastAsia="es-CL"/>
        </w:rPr>
        <w:t xml:space="preserve">a Armada </w:t>
      </w:r>
      <w:r w:rsidRPr="00221BDD">
        <w:rPr>
          <w:rFonts w:ascii="Arial" w:eastAsia="Times New Roman" w:hAnsi="Arial" w:cs="Arial"/>
          <w:sz w:val="24"/>
          <w:szCs w:val="24"/>
          <w:lang w:eastAsia="es-CL"/>
        </w:rPr>
        <w:t xml:space="preserve">Británica </w:t>
      </w:r>
      <w:r>
        <w:rPr>
          <w:rFonts w:ascii="Arial" w:eastAsia="Times New Roman" w:hAnsi="Arial" w:cs="Arial"/>
          <w:sz w:val="24"/>
          <w:szCs w:val="24"/>
          <w:lang w:eastAsia="es-CL"/>
        </w:rPr>
        <w:t xml:space="preserve">en el año 2006 comenzó una iniciativa </w:t>
      </w:r>
      <w:r w:rsidRPr="00221BDD">
        <w:rPr>
          <w:rFonts w:ascii="Arial" w:eastAsia="Times New Roman" w:hAnsi="Arial" w:cs="Arial"/>
          <w:sz w:val="24"/>
          <w:szCs w:val="24"/>
          <w:lang w:eastAsia="es-CL"/>
        </w:rPr>
        <w:t>conocida como OFFU, cuyo objetivo fue optimizar el consumo de combustible en sus unidades navales. Esta propuesta surgió como respuesta a los recortes presupuestarios y al sostenido aumento en el precio del combustible. La meta principal era recuperar el 20% de la actividad operativa perdida, manteniendo la asignación de combustible existente.</w:t>
      </w:r>
    </w:p>
    <w:p w14:paraId="6B6D1CF1" w14:textId="26A02A63"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 xml:space="preserve">Para alcanzar dicho objetivo, se propusieron diversas medidas enfocadas en mejorar la eficiencia en el uso del combustible, junto con un cambio cultural dentro de la organización, promoviendo un trabajo coordinado entre los distintos organismos navales. Entre las acciones más relevantes destacó la optimización del casco, </w:t>
      </w:r>
      <w:r w:rsidRPr="00221BDD">
        <w:rPr>
          <w:rFonts w:ascii="Arial" w:eastAsia="Times New Roman" w:hAnsi="Arial" w:cs="Arial"/>
          <w:sz w:val="24"/>
          <w:szCs w:val="24"/>
          <w:lang w:eastAsia="es-CL"/>
        </w:rPr>
        <w:t>ya que,</w:t>
      </w:r>
      <w:r w:rsidRPr="00221BDD">
        <w:rPr>
          <w:rFonts w:ascii="Arial" w:eastAsia="Times New Roman" w:hAnsi="Arial" w:cs="Arial"/>
          <w:sz w:val="24"/>
          <w:szCs w:val="24"/>
          <w:lang w:eastAsia="es-CL"/>
        </w:rPr>
        <w:t xml:space="preserve"> a velocidades de crucero, la mayor resistencia proviene del roce del agua con la superficie mojada, cuya rugosidad aumenta con la acumulación de suciedad, lo que exige mayor potencia y, por lo tanto, mayor consumo.</w:t>
      </w:r>
    </w:p>
    <w:p w14:paraId="53FC361F" w14:textId="14C69CAC"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La</w:t>
      </w:r>
      <w:r>
        <w:rPr>
          <w:rFonts w:ascii="Arial" w:eastAsia="Times New Roman" w:hAnsi="Arial" w:cs="Arial"/>
          <w:sz w:val="24"/>
          <w:szCs w:val="24"/>
          <w:lang w:eastAsia="es-CL"/>
        </w:rPr>
        <w:t>s</w:t>
      </w:r>
      <w:r w:rsidRPr="00221BDD">
        <w:rPr>
          <w:rFonts w:ascii="Arial" w:eastAsia="Times New Roman" w:hAnsi="Arial" w:cs="Arial"/>
          <w:sz w:val="24"/>
          <w:szCs w:val="24"/>
          <w:lang w:eastAsia="es-CL"/>
        </w:rPr>
        <w:t xml:space="preserve"> propuestas fueron:</w:t>
      </w:r>
    </w:p>
    <w:p w14:paraId="0DB524BF" w14:textId="77777777" w:rsidR="00221BDD" w:rsidRPr="00221BDD" w:rsidRDefault="00221BDD" w:rsidP="00221BDD">
      <w:pPr>
        <w:numPr>
          <w:ilvl w:val="0"/>
          <w:numId w:val="2"/>
        </w:num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b/>
          <w:bCs/>
          <w:sz w:val="24"/>
          <w:szCs w:val="24"/>
          <w:lang w:eastAsia="es-CL"/>
        </w:rPr>
        <w:t>Aplicación de pinturas antiincrustantes autopulimentables</w:t>
      </w:r>
      <w:r w:rsidRPr="00221BDD">
        <w:rPr>
          <w:rFonts w:ascii="Arial" w:eastAsia="Times New Roman" w:hAnsi="Arial" w:cs="Arial"/>
          <w:sz w:val="24"/>
          <w:szCs w:val="24"/>
          <w:lang w:eastAsia="es-CL"/>
        </w:rPr>
        <w:t>, que impiden la adhesión de organismos y suciedad, o permiten su desprendimiento durante la navegación. Se implementó un sistema de monitoreo de incrustaciones que detecta aumentos en la resistencia y sugiere navegar a máxima potencia para limpiar el casco. Esta tecnología resultó altamente efectiva, manteniendo el casco en buen estado durante seis años sin necesidad de limpieza externa. Su adopción generalizada permitió aumentar la disponibilidad operativa en un 20% sin elevar el consumo de combustible, proyectando ahorros entre £600.000 y £1.000.000.</w:t>
      </w:r>
    </w:p>
    <w:p w14:paraId="794F72EC" w14:textId="77777777" w:rsidR="00221BDD" w:rsidRPr="00221BDD" w:rsidRDefault="00221BDD" w:rsidP="00221BDD">
      <w:pPr>
        <w:numPr>
          <w:ilvl w:val="0"/>
          <w:numId w:val="2"/>
        </w:num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b/>
          <w:bCs/>
          <w:sz w:val="24"/>
          <w:szCs w:val="24"/>
          <w:lang w:eastAsia="es-CL"/>
        </w:rPr>
        <w:t>Pulido anual de hélices</w:t>
      </w:r>
      <w:r w:rsidRPr="00221BDD">
        <w:rPr>
          <w:rFonts w:ascii="Arial" w:eastAsia="Times New Roman" w:hAnsi="Arial" w:cs="Arial"/>
          <w:sz w:val="24"/>
          <w:szCs w:val="24"/>
          <w:lang w:eastAsia="es-CL"/>
        </w:rPr>
        <w:t>, ya que se comprobó que la suciedad acumulada puede elevar el consumo en hasta un 4%. Se evaluaba además el uso de recubrimientos antiadherentes para hélices, con resultados prometedores, aunque su implementación aún estaba en evaluación.</w:t>
      </w:r>
    </w:p>
    <w:p w14:paraId="77F8C922" w14:textId="77777777" w:rsidR="00221BDD" w:rsidRPr="00221BDD" w:rsidRDefault="00221BDD" w:rsidP="00221BDD">
      <w:pPr>
        <w:numPr>
          <w:ilvl w:val="0"/>
          <w:numId w:val="2"/>
        </w:num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b/>
          <w:bCs/>
          <w:sz w:val="24"/>
          <w:szCs w:val="24"/>
          <w:lang w:eastAsia="es-CL"/>
        </w:rPr>
        <w:t>Uso de aletas de popa</w:t>
      </w:r>
      <w:r w:rsidRPr="00221BDD">
        <w:rPr>
          <w:rFonts w:ascii="Arial" w:eastAsia="Times New Roman" w:hAnsi="Arial" w:cs="Arial"/>
          <w:sz w:val="24"/>
          <w:szCs w:val="24"/>
          <w:lang w:eastAsia="es-CL"/>
        </w:rPr>
        <w:t>, las cuales generan una fuerza de elevación que modifica la distribución de presión en el casco, disminuyendo la resistencia. Se registraron reducciones del 6% en velocidades entre 7 y 13 nudos, y hasta del 13% a velocidades superiores.</w:t>
      </w:r>
    </w:p>
    <w:p w14:paraId="1E4911DE" w14:textId="77777777" w:rsidR="00221BDD" w:rsidRPr="00221BDD" w:rsidRDefault="00221BDD" w:rsidP="00221BDD">
      <w:pPr>
        <w:numPr>
          <w:ilvl w:val="0"/>
          <w:numId w:val="2"/>
        </w:num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b/>
          <w:bCs/>
          <w:sz w:val="24"/>
          <w:szCs w:val="24"/>
          <w:lang w:eastAsia="es-CL"/>
        </w:rPr>
        <w:t>Control del desplazamiento y del asiento</w:t>
      </w:r>
      <w:r w:rsidRPr="00221BDD">
        <w:rPr>
          <w:rFonts w:ascii="Arial" w:eastAsia="Times New Roman" w:hAnsi="Arial" w:cs="Arial"/>
          <w:sz w:val="24"/>
          <w:szCs w:val="24"/>
          <w:lang w:eastAsia="es-CL"/>
        </w:rPr>
        <w:t>, a través de la reducción de carga innecesaria y el ajuste del lastre, ya que un mal balance genera resistencia adicional a bajas velocidades. Un adecuado control del peso permitió reducir la potencia del eje hasta en un 10%.</w:t>
      </w:r>
    </w:p>
    <w:p w14:paraId="743F3681"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lastRenderedPageBreak/>
        <w:t>Gracias a la aplicación sistemática de estas medidas —especialmente las enfocadas en la eficiencia hidrodinámica del casco— se logró una considerable disminución en el consumo de combustible y una recuperación de los niveles de actividad operativa. Sin embargo, se reconoce la necesidad de seguir avanzando en nuevas tecnologías, particularmente en recubrimientos más eficientes y sostenibles, debido al alza del combustible y a los objetivos de reducción del uso de energías fósiles.</w:t>
      </w:r>
    </w:p>
    <w:p w14:paraId="7C8149C7" w14:textId="77777777" w:rsidR="00221BDD" w:rsidRPr="00221BDD" w:rsidRDefault="00221BDD" w:rsidP="00221BDD">
      <w:pPr>
        <w:spacing w:before="100" w:beforeAutospacing="1" w:after="100" w:afterAutospacing="1" w:line="240" w:lineRule="auto"/>
        <w:jc w:val="center"/>
        <w:rPr>
          <w:rFonts w:ascii="Arial" w:eastAsia="Times New Roman" w:hAnsi="Arial" w:cs="Arial"/>
          <w:sz w:val="24"/>
          <w:szCs w:val="24"/>
          <w:lang w:eastAsia="es-CL"/>
        </w:rPr>
      </w:pPr>
      <w:r w:rsidRPr="00221BDD">
        <w:rPr>
          <w:rFonts w:ascii="Arial" w:eastAsia="Times New Roman" w:hAnsi="Arial" w:cs="Arial"/>
          <w:b/>
          <w:bCs/>
          <w:sz w:val="24"/>
          <w:szCs w:val="24"/>
          <w:lang w:eastAsia="es-CL"/>
        </w:rPr>
        <w:t>MEDIDAS IMPLEMENTADAS EN LA ARMADA DE CHILE</w:t>
      </w:r>
    </w:p>
    <w:p w14:paraId="06F86403"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En cuanto a las medidas adoptadas por la Armada de Chile, una de las más comunes es la aplicación de pinturas antiincrustantes. No obstante, se desconoce el tipo específico que se emplea (autopulimentable, de matriz dura o blanda), y parece no corresponder al tipo mencionado en el estudio británico, ya que, si bien se retrasa la adhesión de suciedad, los buques siguen requiriendo limpieza del casco al ingresar a dique. En inspecciones submarinas se ha observado presencia leve de organismos calcáreos, lo que indica que el recubrimiento ayuda, pero no previene del todo la incrustación.</w:t>
      </w:r>
    </w:p>
    <w:p w14:paraId="02217F5D"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Otra medida parcialmente aplicada es el ajuste del desplazamiento y el asiento. Tal como se menciona en el estudio, resulta más complejo de implementar en buques de guerra; sin embargo, cuando es factible, se recurre al lastre de proa o bulbo para mejorar la estabilidad y reducir el cabeceo, especialmente en condiciones adversas. Esto permite mantener estable la potencia en el eje y reducir el consumo. Esta práctica se ha aplicado en unidades como el PSG “Ortiz” y el LSDH “Aldea”, siendo particularmente necesario en el primero por su menor desplazamiento, que exigía lastrado a proa en situaciones con poca carga.</w:t>
      </w:r>
    </w:p>
    <w:p w14:paraId="5A1FD612"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En cuanto al pulido de hélices, no se realiza de forma regular ni se utilizan recubrimientos especiales, posiblemente por las propiedades anticorrosivas de los materiales con los que están fabricadas. Respecto a las aletas de popa, no se cuenta con información o experiencia que respalde su uso en la Armada de Chile.</w:t>
      </w:r>
    </w:p>
    <w:p w14:paraId="2D2D0C6A" w14:textId="62B82B1A" w:rsidR="00221BDD" w:rsidRPr="00221BDD" w:rsidRDefault="00221BDD" w:rsidP="00221BDD">
      <w:pPr>
        <w:spacing w:before="100" w:beforeAutospacing="1" w:after="100" w:afterAutospacing="1" w:line="240" w:lineRule="auto"/>
        <w:jc w:val="center"/>
        <w:rPr>
          <w:rFonts w:ascii="Arial" w:eastAsia="Times New Roman" w:hAnsi="Arial" w:cs="Arial"/>
          <w:sz w:val="24"/>
          <w:szCs w:val="24"/>
          <w:lang w:eastAsia="es-CL"/>
        </w:rPr>
      </w:pPr>
      <w:r w:rsidRPr="00221BDD">
        <w:rPr>
          <w:rFonts w:ascii="Arial" w:eastAsia="Times New Roman" w:hAnsi="Arial" w:cs="Arial"/>
          <w:b/>
          <w:bCs/>
          <w:sz w:val="24"/>
          <w:szCs w:val="24"/>
          <w:lang w:eastAsia="es-CL"/>
        </w:rPr>
        <w:t>RESPECTO A LAS MEDIDAS PROPUESTAS</w:t>
      </w:r>
    </w:p>
    <w:p w14:paraId="344205FE"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Considero que el uso de pinturas antiincrustantes es una medida útil para reducir la resistencia del casco y, en consecuencia, el consumo de combustible. Además, simplifica las tareas en dique seco. No obstante, sería fundamental asegurar que el tipo de recubrimiento utilizado sea altamente eficaz en prevenir la adhesión de organismos, como en el caso británico. Esto permitiría no solo ahorrar combustible, sino también optimizar los tiempos y recursos durante las mantenciones.</w:t>
      </w:r>
    </w:p>
    <w:p w14:paraId="63EC9FB0"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 xml:space="preserve">Por otro lado, aunque el sistema de monitoreo de incrustaciones ha demostrado ser efectivo, su implementación en la Armada resulta poco viable por ahora. Esta tecnología requiere adaptación técnica, capacitación y un compromiso institucional </w:t>
      </w:r>
      <w:r w:rsidRPr="00221BDD">
        <w:rPr>
          <w:rFonts w:ascii="Arial" w:eastAsia="Times New Roman" w:hAnsi="Arial" w:cs="Arial"/>
          <w:sz w:val="24"/>
          <w:szCs w:val="24"/>
          <w:lang w:eastAsia="es-CL"/>
        </w:rPr>
        <w:lastRenderedPageBreak/>
        <w:t>firme, y dado que aún existen dificultades con la ejecución de procesos rutinarios, su incorporación podría representar una carga adicional compleja de sostener.</w:t>
      </w:r>
    </w:p>
    <w:p w14:paraId="07B7088B"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Respecto a los recubrimientos para hélices, podrían ser beneficiosos si estas no poseen ya propiedades que eviten la acumulación de suciedad. De lo contrario, su implementación solo implicaría mayores costos sin mejoras significativas.</w:t>
      </w:r>
    </w:p>
    <w:p w14:paraId="13CF7BAA"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En lo que respecta al control del desplazamiento y asiento, las prácticas actuales parecen ser las más adecuadas según las capacidades de los buques. El uso del lastre sigue siendo la forma más efectiva de mantener la estabilidad operativa.</w:t>
      </w:r>
    </w:p>
    <w:p w14:paraId="19C7E0F5" w14:textId="77777777" w:rsidR="00221BDD" w:rsidRPr="00221BDD" w:rsidRDefault="00221BDD" w:rsidP="00221BDD">
      <w:pPr>
        <w:spacing w:before="100" w:beforeAutospacing="1" w:after="100" w:afterAutospacing="1" w:line="240" w:lineRule="auto"/>
        <w:rPr>
          <w:rFonts w:ascii="Arial" w:eastAsia="Times New Roman" w:hAnsi="Arial" w:cs="Arial"/>
          <w:sz w:val="24"/>
          <w:szCs w:val="24"/>
          <w:lang w:eastAsia="es-CL"/>
        </w:rPr>
      </w:pPr>
      <w:r w:rsidRPr="00221BDD">
        <w:rPr>
          <w:rFonts w:ascii="Arial" w:eastAsia="Times New Roman" w:hAnsi="Arial" w:cs="Arial"/>
          <w:sz w:val="24"/>
          <w:szCs w:val="24"/>
          <w:lang w:eastAsia="es-CL"/>
        </w:rPr>
        <w:t>Finalmente, el uso de aletas de popa no parece factible para unidades existentes debido a su antigüedad. Sin embargo, su incorporación podría evaluarse en el diseño de nuevos buques proyectados para el mediano o largo plazo.</w:t>
      </w:r>
    </w:p>
    <w:p w14:paraId="42340970" w14:textId="77777777" w:rsidR="003D1F88" w:rsidRDefault="003D1F88"/>
    <w:sectPr w:rsidR="003D1F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63334"/>
    <w:multiLevelType w:val="multilevel"/>
    <w:tmpl w:val="3442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5159CC"/>
    <w:multiLevelType w:val="multilevel"/>
    <w:tmpl w:val="553AF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F88"/>
    <w:rsid w:val="00221BDD"/>
    <w:rsid w:val="003D1F88"/>
    <w:rsid w:val="00666C7B"/>
    <w:rsid w:val="00E83EB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96C45"/>
  <w15:chartTrackingRefBased/>
  <w15:docId w15:val="{06377ED6-BD4E-4B0F-BA1B-ABEBF358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66C7B"/>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666C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93498">
      <w:bodyDiv w:val="1"/>
      <w:marLeft w:val="0"/>
      <w:marRight w:val="0"/>
      <w:marTop w:val="0"/>
      <w:marBottom w:val="0"/>
      <w:divBdr>
        <w:top w:val="none" w:sz="0" w:space="0" w:color="auto"/>
        <w:left w:val="none" w:sz="0" w:space="0" w:color="auto"/>
        <w:bottom w:val="none" w:sz="0" w:space="0" w:color="auto"/>
        <w:right w:val="none" w:sz="0" w:space="0" w:color="auto"/>
      </w:divBdr>
    </w:div>
    <w:div w:id="102559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952</Words>
  <Characters>5237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Parra</dc:creator>
  <cp:keywords/>
  <dc:description/>
  <cp:lastModifiedBy>Andrés Parra</cp:lastModifiedBy>
  <cp:revision>1</cp:revision>
  <dcterms:created xsi:type="dcterms:W3CDTF">2025-07-25T23:31:00Z</dcterms:created>
  <dcterms:modified xsi:type="dcterms:W3CDTF">2025-07-26T00:00:00Z</dcterms:modified>
</cp:coreProperties>
</file>