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FD9C0A" w14:textId="42D1CBFB" w:rsidR="00B306E0" w:rsidRDefault="00B306E0" w:rsidP="006B79C8">
      <w:pPr>
        <w:jc w:val="center"/>
        <w:rPr>
          <w:rFonts w:ascii="Arial" w:hAnsi="Arial" w:cs="Arial"/>
          <w:b/>
          <w:bCs/>
          <w:sz w:val="24"/>
          <w:szCs w:val="24"/>
          <w:u w:val="single"/>
          <w:lang w:val="es-MX"/>
        </w:rPr>
      </w:pPr>
      <w:r w:rsidRPr="00B306E0">
        <w:rPr>
          <w:rFonts w:ascii="Arial" w:hAnsi="Arial" w:cs="Arial"/>
          <w:b/>
          <w:bCs/>
          <w:sz w:val="24"/>
          <w:szCs w:val="24"/>
          <w:u w:val="single"/>
          <w:lang w:val="es-MX"/>
        </w:rPr>
        <w:t>Tonel</w:t>
      </w:r>
      <w:r w:rsidR="00972A4A">
        <w:rPr>
          <w:rFonts w:ascii="Arial" w:hAnsi="Arial" w:cs="Arial"/>
          <w:b/>
          <w:bCs/>
          <w:sz w:val="24"/>
          <w:szCs w:val="24"/>
          <w:u w:val="single"/>
          <w:lang w:val="es-MX"/>
        </w:rPr>
        <w:t>ada</w:t>
      </w:r>
    </w:p>
    <w:p w14:paraId="166FCBD1" w14:textId="59E5E22A" w:rsidR="00B306E0" w:rsidRDefault="009B7607" w:rsidP="003A0F97">
      <w:pPr>
        <w:jc w:val="both"/>
        <w:rPr>
          <w:rFonts w:ascii="Arial" w:hAnsi="Arial" w:cs="Arial"/>
          <w:sz w:val="24"/>
          <w:szCs w:val="24"/>
          <w:lang w:val="es-MX"/>
        </w:rPr>
      </w:pPr>
      <w:r>
        <w:rPr>
          <w:rFonts w:ascii="Arial" w:hAnsi="Arial" w:cs="Arial"/>
          <w:sz w:val="24"/>
          <w:szCs w:val="24"/>
          <w:lang w:val="es-MX"/>
        </w:rPr>
        <w:t xml:space="preserve">El DECEL (Diccionario Etimológico Castellano en Línea) </w:t>
      </w:r>
      <w:r w:rsidR="00056CCE">
        <w:rPr>
          <w:rFonts w:ascii="Arial" w:hAnsi="Arial" w:cs="Arial"/>
          <w:sz w:val="24"/>
          <w:szCs w:val="24"/>
          <w:lang w:val="es-MX"/>
        </w:rPr>
        <w:t>define tonelada como:</w:t>
      </w:r>
      <w:r w:rsidR="00F50796">
        <w:rPr>
          <w:rFonts w:ascii="Arial" w:hAnsi="Arial" w:cs="Arial"/>
          <w:sz w:val="24"/>
          <w:szCs w:val="24"/>
          <w:lang w:val="es-MX"/>
        </w:rPr>
        <w:t xml:space="preserve"> “</w:t>
      </w:r>
      <w:r w:rsidR="00D93EE9">
        <w:rPr>
          <w:rFonts w:ascii="Arial" w:hAnsi="Arial" w:cs="Arial"/>
          <w:sz w:val="24"/>
          <w:szCs w:val="24"/>
          <w:lang w:val="es-MX"/>
        </w:rPr>
        <w:t xml:space="preserve"> </w:t>
      </w:r>
      <w:r w:rsidR="00056CCE">
        <w:rPr>
          <w:rFonts w:ascii="Arial" w:hAnsi="Arial" w:cs="Arial"/>
          <w:sz w:val="24"/>
          <w:szCs w:val="24"/>
          <w:lang w:val="es-MX"/>
        </w:rPr>
        <w:t>“…</w:t>
      </w:r>
      <w:r w:rsidR="00B306E0">
        <w:rPr>
          <w:rFonts w:ascii="Arial" w:hAnsi="Arial" w:cs="Arial"/>
          <w:sz w:val="24"/>
          <w:szCs w:val="24"/>
          <w:lang w:val="es-MX"/>
        </w:rPr>
        <w:t xml:space="preserve">unidad métrica de mil kilogramos” y viene del sufijo </w:t>
      </w:r>
      <w:r w:rsidR="00056CCE">
        <w:rPr>
          <w:rFonts w:ascii="Arial" w:hAnsi="Arial" w:cs="Arial"/>
          <w:sz w:val="24"/>
          <w:szCs w:val="24"/>
          <w:lang w:val="es-MX"/>
        </w:rPr>
        <w:t xml:space="preserve">– </w:t>
      </w:r>
      <w:proofErr w:type="spellStart"/>
      <w:r w:rsidR="00056CCE">
        <w:rPr>
          <w:rFonts w:ascii="Arial" w:hAnsi="Arial" w:cs="Arial"/>
          <w:sz w:val="24"/>
          <w:szCs w:val="24"/>
          <w:lang w:val="es-MX"/>
        </w:rPr>
        <w:t>ada</w:t>
      </w:r>
      <w:proofErr w:type="spellEnd"/>
      <w:r w:rsidR="00056CCE">
        <w:rPr>
          <w:rFonts w:ascii="Arial" w:hAnsi="Arial" w:cs="Arial"/>
          <w:sz w:val="24"/>
          <w:szCs w:val="24"/>
          <w:lang w:val="es-MX"/>
        </w:rPr>
        <w:t xml:space="preserve"> (que ha recibido la acción) sobre la palabra “tonel” y esta del catalán </w:t>
      </w:r>
      <w:proofErr w:type="spellStart"/>
      <w:r w:rsidR="00056CCE">
        <w:rPr>
          <w:rFonts w:ascii="Arial" w:hAnsi="Arial" w:cs="Arial"/>
          <w:sz w:val="24"/>
          <w:szCs w:val="24"/>
          <w:lang w:val="es-MX"/>
        </w:rPr>
        <w:t>tonell</w:t>
      </w:r>
      <w:proofErr w:type="spellEnd"/>
      <w:r w:rsidR="00056CCE">
        <w:rPr>
          <w:rFonts w:ascii="Arial" w:hAnsi="Arial" w:cs="Arial"/>
          <w:sz w:val="24"/>
          <w:szCs w:val="24"/>
          <w:lang w:val="es-MX"/>
        </w:rPr>
        <w:t xml:space="preserve"> = “recipiente para sostener líquidos”</w:t>
      </w:r>
      <w:r w:rsidR="0092438E">
        <w:rPr>
          <w:rStyle w:val="Refdenotaalpie"/>
          <w:rFonts w:ascii="Arial" w:hAnsi="Arial" w:cs="Arial"/>
          <w:sz w:val="24"/>
          <w:szCs w:val="24"/>
          <w:lang w:val="es-MX"/>
        </w:rPr>
        <w:footnoteReference w:id="1"/>
      </w:r>
      <w:r w:rsidR="00056CCE">
        <w:rPr>
          <w:rFonts w:ascii="Arial" w:hAnsi="Arial" w:cs="Arial"/>
          <w:sz w:val="24"/>
          <w:szCs w:val="24"/>
          <w:lang w:val="es-MX"/>
        </w:rPr>
        <w:t xml:space="preserve"> </w:t>
      </w:r>
      <w:r w:rsidR="005D4F44">
        <w:rPr>
          <w:rFonts w:ascii="Arial" w:hAnsi="Arial" w:cs="Arial"/>
          <w:sz w:val="24"/>
          <w:szCs w:val="24"/>
          <w:lang w:val="es-MX"/>
        </w:rPr>
        <w:t xml:space="preserve"> </w:t>
      </w:r>
    </w:p>
    <w:p w14:paraId="626940B9" w14:textId="796BC97C" w:rsidR="005D4F44" w:rsidRDefault="00D93EE9" w:rsidP="003A0F97">
      <w:pPr>
        <w:jc w:val="both"/>
        <w:rPr>
          <w:rFonts w:ascii="Arial" w:hAnsi="Arial" w:cs="Arial"/>
          <w:sz w:val="24"/>
          <w:szCs w:val="24"/>
          <w:lang w:val="es-MX"/>
        </w:rPr>
      </w:pPr>
      <w:r>
        <w:rPr>
          <w:rFonts w:ascii="Arial" w:hAnsi="Arial" w:cs="Arial"/>
          <w:sz w:val="24"/>
          <w:szCs w:val="24"/>
          <w:lang w:val="es-MX"/>
        </w:rPr>
        <w:t xml:space="preserve">La página </w:t>
      </w:r>
      <w:proofErr w:type="spellStart"/>
      <w:r>
        <w:rPr>
          <w:rFonts w:ascii="Arial" w:hAnsi="Arial" w:cs="Arial"/>
          <w:sz w:val="24"/>
          <w:szCs w:val="24"/>
          <w:lang w:val="es-MX"/>
        </w:rPr>
        <w:t>Definiciona</w:t>
      </w:r>
      <w:proofErr w:type="spellEnd"/>
      <w:r>
        <w:rPr>
          <w:rFonts w:ascii="Arial" w:hAnsi="Arial" w:cs="Arial"/>
          <w:sz w:val="24"/>
          <w:szCs w:val="24"/>
          <w:lang w:val="es-MX"/>
        </w:rPr>
        <w:t xml:space="preserve"> en su sección</w:t>
      </w:r>
      <w:r w:rsidR="005D4F44">
        <w:rPr>
          <w:rFonts w:ascii="Arial" w:hAnsi="Arial" w:cs="Arial"/>
          <w:sz w:val="24"/>
          <w:szCs w:val="24"/>
          <w:lang w:val="es-MX"/>
        </w:rPr>
        <w:t xml:space="preserve">, </w:t>
      </w:r>
      <w:r>
        <w:rPr>
          <w:rFonts w:ascii="Arial" w:hAnsi="Arial" w:cs="Arial"/>
          <w:sz w:val="24"/>
          <w:szCs w:val="24"/>
          <w:lang w:val="es-MX"/>
        </w:rPr>
        <w:t>Definición y etimología</w:t>
      </w:r>
      <w:r w:rsidR="005D4F44">
        <w:rPr>
          <w:rFonts w:ascii="Arial" w:hAnsi="Arial" w:cs="Arial"/>
          <w:sz w:val="24"/>
          <w:szCs w:val="24"/>
          <w:lang w:val="es-MX"/>
        </w:rPr>
        <w:t>,</w:t>
      </w:r>
      <w:r>
        <w:rPr>
          <w:rFonts w:ascii="Arial" w:hAnsi="Arial" w:cs="Arial"/>
          <w:sz w:val="24"/>
          <w:szCs w:val="24"/>
          <w:lang w:val="es-MX"/>
        </w:rPr>
        <w:t xml:space="preserve"> </w:t>
      </w:r>
      <w:r w:rsidR="005D4F44">
        <w:rPr>
          <w:rFonts w:ascii="Arial" w:hAnsi="Arial" w:cs="Arial"/>
          <w:sz w:val="24"/>
          <w:szCs w:val="24"/>
          <w:lang w:val="es-MX"/>
        </w:rPr>
        <w:t>define el origen de tonelada de la siguiente forma</w:t>
      </w:r>
      <w:r>
        <w:rPr>
          <w:rFonts w:ascii="Arial" w:hAnsi="Arial" w:cs="Arial"/>
          <w:sz w:val="24"/>
          <w:szCs w:val="24"/>
          <w:lang w:val="es-MX"/>
        </w:rPr>
        <w:t>: “</w:t>
      </w:r>
      <w:r w:rsidRPr="00D93EE9">
        <w:rPr>
          <w:rFonts w:ascii="Arial" w:hAnsi="Arial" w:cs="Arial"/>
          <w:sz w:val="24"/>
          <w:szCs w:val="24"/>
          <w:lang w:val="es-MX"/>
        </w:rPr>
        <w:t>viene del sustantivo «tonel» y del sufijo «</w:t>
      </w:r>
      <w:proofErr w:type="spellStart"/>
      <w:r w:rsidRPr="00D93EE9">
        <w:rPr>
          <w:rFonts w:ascii="Arial" w:hAnsi="Arial" w:cs="Arial"/>
          <w:sz w:val="24"/>
          <w:szCs w:val="24"/>
          <w:lang w:val="es-MX"/>
        </w:rPr>
        <w:t>ada</w:t>
      </w:r>
      <w:proofErr w:type="spellEnd"/>
      <w:r w:rsidRPr="00D93EE9">
        <w:rPr>
          <w:rFonts w:ascii="Arial" w:hAnsi="Arial" w:cs="Arial"/>
          <w:sz w:val="24"/>
          <w:szCs w:val="24"/>
          <w:lang w:val="es-MX"/>
        </w:rPr>
        <w:t>» que indica contenido, conjunto, abundancia o exceso.</w:t>
      </w:r>
      <w:r w:rsidR="005D4F44">
        <w:rPr>
          <w:rFonts w:ascii="Arial" w:hAnsi="Arial" w:cs="Arial"/>
          <w:sz w:val="24"/>
          <w:szCs w:val="24"/>
          <w:lang w:val="es-MX"/>
        </w:rPr>
        <w:t xml:space="preserve"> “</w:t>
      </w:r>
      <w:r w:rsidR="0092438E">
        <w:rPr>
          <w:rStyle w:val="Refdenotaalpie"/>
          <w:rFonts w:ascii="Arial" w:hAnsi="Arial" w:cs="Arial"/>
          <w:sz w:val="24"/>
          <w:szCs w:val="24"/>
          <w:lang w:val="es-MX"/>
        </w:rPr>
        <w:footnoteReference w:id="2"/>
      </w:r>
      <w:r w:rsidR="005D4F44">
        <w:rPr>
          <w:rFonts w:ascii="Arial" w:hAnsi="Arial" w:cs="Arial"/>
          <w:sz w:val="24"/>
          <w:szCs w:val="24"/>
          <w:lang w:val="es-MX"/>
        </w:rPr>
        <w:t xml:space="preserve"> </w:t>
      </w:r>
    </w:p>
    <w:p w14:paraId="09BF3B3B" w14:textId="77777777" w:rsidR="003329DE" w:rsidRDefault="003A0F97" w:rsidP="003A0F97">
      <w:pPr>
        <w:jc w:val="both"/>
        <w:rPr>
          <w:rFonts w:ascii="Arial" w:hAnsi="Arial" w:cs="Arial"/>
          <w:sz w:val="24"/>
          <w:szCs w:val="24"/>
          <w:lang w:val="es-MX"/>
        </w:rPr>
      </w:pPr>
      <w:r>
        <w:rPr>
          <w:rFonts w:ascii="Arial" w:hAnsi="Arial" w:cs="Arial"/>
          <w:sz w:val="24"/>
          <w:szCs w:val="24"/>
          <w:lang w:val="es-MX"/>
        </w:rPr>
        <w:t xml:space="preserve">El </w:t>
      </w:r>
      <w:r w:rsidR="004C75A2">
        <w:rPr>
          <w:rFonts w:ascii="Arial" w:hAnsi="Arial" w:cs="Arial"/>
          <w:sz w:val="24"/>
          <w:szCs w:val="24"/>
          <w:lang w:val="es-MX"/>
        </w:rPr>
        <w:t xml:space="preserve">tercer </w:t>
      </w:r>
      <w:r>
        <w:rPr>
          <w:rFonts w:ascii="Arial" w:hAnsi="Arial" w:cs="Arial"/>
          <w:sz w:val="24"/>
          <w:szCs w:val="24"/>
          <w:lang w:val="es-MX"/>
        </w:rPr>
        <w:t>punto de definición de tonelada según la Real Academia Española es: “Medida antigua para el arqueo de las embarcaciones, igual a ocho codos cúbicos de rivera”</w:t>
      </w:r>
      <w:r w:rsidR="004C75A2">
        <w:rPr>
          <w:rStyle w:val="Refdenotaalpie"/>
          <w:rFonts w:ascii="Arial" w:hAnsi="Arial" w:cs="Arial"/>
          <w:sz w:val="24"/>
          <w:szCs w:val="24"/>
          <w:lang w:val="es-MX"/>
        </w:rPr>
        <w:footnoteReference w:id="3"/>
      </w:r>
      <w:r>
        <w:rPr>
          <w:rFonts w:ascii="Arial" w:hAnsi="Arial" w:cs="Arial"/>
          <w:sz w:val="24"/>
          <w:szCs w:val="24"/>
          <w:lang w:val="es-MX"/>
        </w:rPr>
        <w:t>. O sea</w:t>
      </w:r>
      <w:r w:rsidR="004C75A2">
        <w:rPr>
          <w:rFonts w:ascii="Arial" w:hAnsi="Arial" w:cs="Arial"/>
          <w:sz w:val="24"/>
          <w:szCs w:val="24"/>
          <w:lang w:val="es-MX"/>
        </w:rPr>
        <w:t>,</w:t>
      </w:r>
      <w:r w:rsidR="00110E49">
        <w:rPr>
          <w:rFonts w:ascii="Arial" w:hAnsi="Arial" w:cs="Arial"/>
          <w:sz w:val="24"/>
          <w:szCs w:val="24"/>
          <w:lang w:val="es-MX"/>
        </w:rPr>
        <w:t xml:space="preserve"> antiguamente tonelada </w:t>
      </w:r>
      <w:r w:rsidR="004C75A2">
        <w:rPr>
          <w:rFonts w:ascii="Arial" w:hAnsi="Arial" w:cs="Arial"/>
          <w:sz w:val="24"/>
          <w:szCs w:val="24"/>
          <w:lang w:val="es-MX"/>
        </w:rPr>
        <w:t>hacía</w:t>
      </w:r>
      <w:r w:rsidR="00110E49">
        <w:rPr>
          <w:rFonts w:ascii="Arial" w:hAnsi="Arial" w:cs="Arial"/>
          <w:sz w:val="24"/>
          <w:szCs w:val="24"/>
          <w:lang w:val="es-MX"/>
        </w:rPr>
        <w:t xml:space="preserve"> referencia a volumen.</w:t>
      </w:r>
      <w:r w:rsidR="004C75A2">
        <w:rPr>
          <w:rFonts w:ascii="Arial" w:hAnsi="Arial" w:cs="Arial"/>
          <w:sz w:val="24"/>
          <w:szCs w:val="24"/>
          <w:lang w:val="es-MX"/>
        </w:rPr>
        <w:t xml:space="preserve"> Esta referencia concuerda con la aclaración realizada en Wikipedia, donde dice: “</w:t>
      </w:r>
      <w:r w:rsidR="004C75A2" w:rsidRPr="004C75A2">
        <w:rPr>
          <w:rFonts w:ascii="Arial" w:hAnsi="Arial" w:cs="Arial"/>
          <w:sz w:val="24"/>
          <w:szCs w:val="24"/>
          <w:lang w:val="es-MX"/>
        </w:rPr>
        <w:t>La tonelada (Tm) fue originalmente una unidad de masa equivalente a la masa de un metro cúbico de agua dulce</w:t>
      </w:r>
      <w:r w:rsidR="003329DE">
        <w:rPr>
          <w:rFonts w:ascii="Arial" w:hAnsi="Arial" w:cs="Arial"/>
          <w:sz w:val="24"/>
          <w:szCs w:val="24"/>
          <w:lang w:val="es-MX"/>
        </w:rPr>
        <w:t xml:space="preserve"> </w:t>
      </w:r>
      <w:r w:rsidR="004C75A2">
        <w:rPr>
          <w:rFonts w:ascii="Arial" w:hAnsi="Arial" w:cs="Arial"/>
          <w:sz w:val="24"/>
          <w:szCs w:val="24"/>
          <w:lang w:val="es-MX"/>
        </w:rPr>
        <w:t>(…)</w:t>
      </w:r>
      <w:r w:rsidR="004C75A2" w:rsidRPr="004C75A2">
        <w:rPr>
          <w:rFonts w:ascii="Arial" w:hAnsi="Arial" w:cs="Arial"/>
          <w:sz w:val="24"/>
          <w:szCs w:val="24"/>
          <w:lang w:val="es-MX"/>
        </w:rPr>
        <w:t>, pero actualmente es simplemente un múltiplo del kilogramo</w:t>
      </w:r>
      <w:r w:rsidR="004C75A2">
        <w:rPr>
          <w:rFonts w:ascii="Arial" w:hAnsi="Arial" w:cs="Arial"/>
          <w:sz w:val="24"/>
          <w:szCs w:val="24"/>
          <w:lang w:val="es-MX"/>
        </w:rPr>
        <w:t>”</w:t>
      </w:r>
      <w:r w:rsidR="004C75A2">
        <w:rPr>
          <w:rStyle w:val="Refdenotaalpie"/>
          <w:rFonts w:ascii="Arial" w:hAnsi="Arial" w:cs="Arial"/>
          <w:sz w:val="24"/>
          <w:szCs w:val="24"/>
          <w:lang w:val="es-MX"/>
        </w:rPr>
        <w:footnoteReference w:id="4"/>
      </w:r>
    </w:p>
    <w:p w14:paraId="3E6BAE0D" w14:textId="7EBC37C0" w:rsidR="006B79C8" w:rsidRPr="006B79C8" w:rsidRDefault="006B79C8" w:rsidP="006B79C8">
      <w:pPr>
        <w:jc w:val="both"/>
        <w:rPr>
          <w:rFonts w:ascii="Arial" w:hAnsi="Arial" w:cs="Arial"/>
          <w:sz w:val="24"/>
          <w:szCs w:val="24"/>
          <w:lang w:val="es-MX"/>
        </w:rPr>
      </w:pPr>
      <w:r>
        <w:rPr>
          <w:rFonts w:ascii="Arial" w:hAnsi="Arial" w:cs="Arial"/>
          <w:sz w:val="24"/>
          <w:szCs w:val="24"/>
          <w:lang w:val="es-MX"/>
        </w:rPr>
        <w:t xml:space="preserve">Por otro lado </w:t>
      </w:r>
      <w:proofErr w:type="spellStart"/>
      <w:r w:rsidR="003329DE">
        <w:rPr>
          <w:rFonts w:ascii="Arial" w:hAnsi="Arial" w:cs="Arial"/>
          <w:sz w:val="24"/>
          <w:szCs w:val="24"/>
          <w:lang w:val="es-MX"/>
        </w:rPr>
        <w:t>Wikidat</w:t>
      </w:r>
      <w:proofErr w:type="spellEnd"/>
      <w:r w:rsidR="003329DE">
        <w:rPr>
          <w:rFonts w:ascii="Arial" w:hAnsi="Arial" w:cs="Arial"/>
          <w:sz w:val="24"/>
          <w:szCs w:val="24"/>
          <w:lang w:val="es-MX"/>
        </w:rPr>
        <w:t xml:space="preserve"> publicó lo siguiente: </w:t>
      </w:r>
      <w:r>
        <w:rPr>
          <w:rFonts w:ascii="Arial" w:hAnsi="Arial" w:cs="Arial"/>
          <w:sz w:val="24"/>
          <w:szCs w:val="24"/>
          <w:lang w:val="es-MX"/>
        </w:rPr>
        <w:t>“</w:t>
      </w:r>
      <w:r w:rsidRPr="006B79C8">
        <w:rPr>
          <w:rFonts w:ascii="Arial" w:hAnsi="Arial" w:cs="Arial"/>
          <w:sz w:val="24"/>
          <w:szCs w:val="24"/>
          <w:lang w:val="es-MX"/>
        </w:rPr>
        <w:t>La tonelada en el sistema anglosajón de unidades se refiere originalmente al gran tonel con una capacidad de 252 galones, que contiene aproximadamente 2016 libras de agua. Dicho barril aún se denomina tun en el inglés británico.</w:t>
      </w:r>
      <w:r>
        <w:rPr>
          <w:rFonts w:ascii="Arial" w:hAnsi="Arial" w:cs="Arial"/>
          <w:sz w:val="24"/>
          <w:szCs w:val="24"/>
          <w:lang w:val="es-MX"/>
        </w:rPr>
        <w:t xml:space="preserve"> (…)</w:t>
      </w:r>
    </w:p>
    <w:p w14:paraId="2139B9A8" w14:textId="77777777" w:rsidR="006B79C8" w:rsidRDefault="006B79C8" w:rsidP="006B79C8">
      <w:pPr>
        <w:jc w:val="both"/>
        <w:rPr>
          <w:rFonts w:ascii="Arial" w:hAnsi="Arial" w:cs="Arial"/>
          <w:sz w:val="24"/>
          <w:szCs w:val="24"/>
          <w:lang w:val="es-MX"/>
        </w:rPr>
      </w:pPr>
      <w:r w:rsidRPr="006B79C8">
        <w:rPr>
          <w:rFonts w:ascii="Arial" w:hAnsi="Arial" w:cs="Arial"/>
          <w:sz w:val="24"/>
          <w:szCs w:val="24"/>
          <w:lang w:val="es-MX"/>
        </w:rPr>
        <w:t>En este sistema avoirdupois existen dos unidades de masa diferentes denominadas tonelada:</w:t>
      </w:r>
      <w:r>
        <w:rPr>
          <w:rFonts w:ascii="Arial" w:hAnsi="Arial" w:cs="Arial"/>
          <w:sz w:val="24"/>
          <w:szCs w:val="24"/>
          <w:lang w:val="es-MX"/>
        </w:rPr>
        <w:t xml:space="preserve"> </w:t>
      </w:r>
    </w:p>
    <w:p w14:paraId="3860EEAA" w14:textId="638FDDB8" w:rsidR="006B79C8" w:rsidRPr="006B79C8" w:rsidRDefault="006B79C8" w:rsidP="006B79C8">
      <w:pPr>
        <w:jc w:val="both"/>
        <w:rPr>
          <w:rFonts w:ascii="Arial" w:hAnsi="Arial" w:cs="Arial"/>
          <w:sz w:val="24"/>
          <w:szCs w:val="24"/>
          <w:lang w:val="es-MX"/>
        </w:rPr>
      </w:pPr>
      <w:r w:rsidRPr="006B79C8">
        <w:rPr>
          <w:rFonts w:ascii="Arial" w:hAnsi="Arial" w:cs="Arial"/>
          <w:sz w:val="24"/>
          <w:szCs w:val="24"/>
          <w:lang w:val="es-MX"/>
        </w:rPr>
        <w:t>Como medida de peso, la tonelada castellana equivalía a 20 quintales, y el quintal a 100 libras castellanas (es decir, 46 kg), por lo que la tonelada serían 920 kg. Dejó de utilizarse cuando se impuso la tonelada métrica de 1000 kg (lo cual representó grandes problemas, dada la pequeña diferencia entre una y otra).</w:t>
      </w:r>
    </w:p>
    <w:p w14:paraId="79B0C938" w14:textId="34481AC4" w:rsidR="006B79C8" w:rsidRPr="006B79C8" w:rsidRDefault="006B79C8" w:rsidP="006B79C8">
      <w:pPr>
        <w:jc w:val="both"/>
        <w:rPr>
          <w:rFonts w:ascii="Arial" w:hAnsi="Arial" w:cs="Arial"/>
          <w:sz w:val="24"/>
          <w:szCs w:val="24"/>
          <w:lang w:val="es-MX"/>
        </w:rPr>
      </w:pPr>
      <w:r w:rsidRPr="006B79C8">
        <w:rPr>
          <w:rFonts w:ascii="Arial" w:hAnsi="Arial" w:cs="Arial"/>
          <w:sz w:val="24"/>
          <w:szCs w:val="24"/>
          <w:lang w:val="es-MX"/>
        </w:rPr>
        <w:t>En la náutica castellana del siglo XVI, la tonelada era una medida de capacidad que equivalía a 1,518 m³, o 1518 litros.​</w:t>
      </w:r>
    </w:p>
    <w:p w14:paraId="2DE9AC59" w14:textId="77777777" w:rsidR="006B79C8" w:rsidRDefault="006B79C8" w:rsidP="006B79C8">
      <w:pPr>
        <w:jc w:val="both"/>
        <w:rPr>
          <w:rFonts w:ascii="Arial" w:hAnsi="Arial" w:cs="Arial"/>
          <w:sz w:val="24"/>
          <w:szCs w:val="24"/>
          <w:lang w:val="es-MX"/>
        </w:rPr>
      </w:pPr>
      <w:r w:rsidRPr="006B79C8">
        <w:rPr>
          <w:rFonts w:ascii="Arial" w:hAnsi="Arial" w:cs="Arial"/>
          <w:sz w:val="24"/>
          <w:szCs w:val="24"/>
          <w:lang w:val="es-MX"/>
        </w:rPr>
        <w:t>En la náutica española posterior, la tonelada era una medida de capacidad igual a ocho codos de ribera cúbicos; es decir, 1,583 m³, o 1583 L.</w:t>
      </w:r>
      <w:r>
        <w:rPr>
          <w:rFonts w:ascii="Arial" w:hAnsi="Arial" w:cs="Arial"/>
          <w:sz w:val="24"/>
          <w:szCs w:val="24"/>
          <w:lang w:val="es-MX"/>
        </w:rPr>
        <w:t>”</w:t>
      </w:r>
      <w:r>
        <w:rPr>
          <w:rStyle w:val="Refdenotaalpie"/>
          <w:rFonts w:ascii="Arial" w:hAnsi="Arial" w:cs="Arial"/>
          <w:sz w:val="24"/>
          <w:szCs w:val="24"/>
          <w:lang w:val="es-MX"/>
        </w:rPr>
        <w:footnoteReference w:id="5"/>
      </w:r>
    </w:p>
    <w:p w14:paraId="75524DA9" w14:textId="37730B5D" w:rsidR="007A082F" w:rsidRDefault="006B79C8" w:rsidP="006B79C8">
      <w:pPr>
        <w:jc w:val="both"/>
        <w:rPr>
          <w:rFonts w:ascii="Arial" w:hAnsi="Arial" w:cs="Arial"/>
          <w:sz w:val="24"/>
          <w:szCs w:val="24"/>
          <w:lang w:val="es-MX"/>
        </w:rPr>
      </w:pPr>
      <w:r>
        <w:rPr>
          <w:rFonts w:ascii="Arial" w:hAnsi="Arial" w:cs="Arial"/>
          <w:sz w:val="24"/>
          <w:szCs w:val="24"/>
          <w:lang w:val="es-MX"/>
        </w:rPr>
        <w:t>De esto s</w:t>
      </w:r>
      <w:r w:rsidRPr="006B79C8">
        <w:rPr>
          <w:rFonts w:ascii="Arial" w:hAnsi="Arial" w:cs="Arial"/>
          <w:sz w:val="24"/>
          <w:szCs w:val="24"/>
          <w:lang w:val="es-MX"/>
        </w:rPr>
        <w:t>e debe destacar que dependiendo del sistema que decidimos usar y el lugar en donde estemos, la tonelada variará</w:t>
      </w:r>
      <w:r>
        <w:rPr>
          <w:rFonts w:ascii="Arial" w:hAnsi="Arial" w:cs="Arial"/>
          <w:sz w:val="24"/>
          <w:szCs w:val="24"/>
          <w:lang w:val="es-MX"/>
        </w:rPr>
        <w:t>.</w:t>
      </w:r>
      <w:r w:rsidR="007A082F">
        <w:rPr>
          <w:rFonts w:ascii="Arial" w:hAnsi="Arial" w:cs="Arial"/>
          <w:sz w:val="24"/>
          <w:szCs w:val="24"/>
          <w:lang w:val="es-MX"/>
        </w:rPr>
        <w:br w:type="page"/>
      </w:r>
    </w:p>
    <w:p w14:paraId="7E860705" w14:textId="7AFFD981" w:rsidR="00DB307A" w:rsidRDefault="007A082F" w:rsidP="00147392">
      <w:pPr>
        <w:jc w:val="center"/>
        <w:rPr>
          <w:rFonts w:ascii="Arial" w:hAnsi="Arial" w:cs="Arial"/>
          <w:b/>
          <w:bCs/>
          <w:sz w:val="24"/>
          <w:szCs w:val="24"/>
          <w:u w:val="single"/>
          <w:lang w:val="es-MX"/>
        </w:rPr>
      </w:pPr>
      <w:r w:rsidRPr="007A082F">
        <w:rPr>
          <w:rFonts w:ascii="Arial" w:hAnsi="Arial" w:cs="Arial"/>
          <w:b/>
          <w:bCs/>
          <w:sz w:val="24"/>
          <w:szCs w:val="24"/>
          <w:u w:val="single"/>
          <w:lang w:val="es-MX"/>
        </w:rPr>
        <w:lastRenderedPageBreak/>
        <w:t xml:space="preserve">Las 9 esclusas de </w:t>
      </w:r>
      <w:proofErr w:type="spellStart"/>
      <w:r w:rsidRPr="007A082F">
        <w:rPr>
          <w:rFonts w:ascii="Arial" w:hAnsi="Arial" w:cs="Arial"/>
          <w:b/>
          <w:bCs/>
          <w:sz w:val="24"/>
          <w:szCs w:val="24"/>
          <w:u w:val="single"/>
          <w:lang w:val="es-MX"/>
        </w:rPr>
        <w:t>Beziers</w:t>
      </w:r>
      <w:proofErr w:type="spellEnd"/>
    </w:p>
    <w:p w14:paraId="7B8EFB4A" w14:textId="77777777" w:rsidR="00147392" w:rsidRPr="00147392" w:rsidRDefault="00147392" w:rsidP="00147392">
      <w:pPr>
        <w:jc w:val="center"/>
        <w:rPr>
          <w:rFonts w:ascii="Arial" w:hAnsi="Arial" w:cs="Arial"/>
          <w:b/>
          <w:bCs/>
          <w:sz w:val="24"/>
          <w:szCs w:val="24"/>
          <w:u w:val="single"/>
          <w:lang w:val="es-MX"/>
        </w:rPr>
      </w:pPr>
    </w:p>
    <w:p w14:paraId="0ABFE379" w14:textId="15A8953B" w:rsidR="00147392" w:rsidRDefault="00972A4A" w:rsidP="00DB307A">
      <w:pPr>
        <w:jc w:val="both"/>
        <w:rPr>
          <w:rFonts w:ascii="Arial" w:hAnsi="Arial" w:cs="Arial"/>
          <w:sz w:val="24"/>
          <w:szCs w:val="24"/>
          <w:lang w:val="es-MX"/>
        </w:rPr>
      </w:pPr>
      <w:r>
        <w:rPr>
          <w:rFonts w:ascii="Arial" w:hAnsi="Arial" w:cs="Arial"/>
          <w:noProof/>
          <w:sz w:val="24"/>
          <w:szCs w:val="24"/>
          <w:lang w:val="es-MX"/>
        </w:rPr>
        <w:drawing>
          <wp:anchor distT="0" distB="0" distL="114300" distR="114300" simplePos="0" relativeHeight="251661312" behindDoc="1" locked="0" layoutInCell="1" allowOverlap="1" wp14:anchorId="0FBE4D93" wp14:editId="62F60B5C">
            <wp:simplePos x="0" y="0"/>
            <wp:positionH relativeFrom="margin">
              <wp:posOffset>3129280</wp:posOffset>
            </wp:positionH>
            <wp:positionV relativeFrom="paragraph">
              <wp:posOffset>1414145</wp:posOffset>
            </wp:positionV>
            <wp:extent cx="2294255" cy="3581400"/>
            <wp:effectExtent l="0" t="0" r="0" b="0"/>
            <wp:wrapTight wrapText="bothSides">
              <wp:wrapPolygon edited="0">
                <wp:start x="0" y="0"/>
                <wp:lineTo x="0" y="21485"/>
                <wp:lineTo x="21343" y="21485"/>
                <wp:lineTo x="21343" y="0"/>
                <wp:lineTo x="0" y="0"/>
              </wp:wrapPolygon>
            </wp:wrapTight>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7">
                      <a:extLst>
                        <a:ext uri="{28A0092B-C50C-407E-A947-70E740481C1C}">
                          <a14:useLocalDpi xmlns:a14="http://schemas.microsoft.com/office/drawing/2010/main" val="0"/>
                        </a:ext>
                      </a:extLst>
                    </a:blip>
                    <a:stretch>
                      <a:fillRect/>
                    </a:stretch>
                  </pic:blipFill>
                  <pic:spPr>
                    <a:xfrm>
                      <a:off x="0" y="0"/>
                      <a:ext cx="2294255" cy="358140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24"/>
          <w:szCs w:val="24"/>
          <w:lang w:val="es-MX"/>
        </w:rPr>
        <w:drawing>
          <wp:anchor distT="0" distB="0" distL="114300" distR="114300" simplePos="0" relativeHeight="251659264" behindDoc="1" locked="0" layoutInCell="1" allowOverlap="1" wp14:anchorId="4F9C7078" wp14:editId="4804B7A8">
            <wp:simplePos x="0" y="0"/>
            <wp:positionH relativeFrom="margin">
              <wp:align>left</wp:align>
            </wp:positionH>
            <wp:positionV relativeFrom="paragraph">
              <wp:posOffset>1270635</wp:posOffset>
            </wp:positionV>
            <wp:extent cx="2981325" cy="1722755"/>
            <wp:effectExtent l="0" t="0" r="9525" b="0"/>
            <wp:wrapTight wrapText="bothSides">
              <wp:wrapPolygon edited="0">
                <wp:start x="0" y="0"/>
                <wp:lineTo x="0" y="21258"/>
                <wp:lineTo x="21531" y="21258"/>
                <wp:lineTo x="21531"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8">
                      <a:extLst>
                        <a:ext uri="{28A0092B-C50C-407E-A947-70E740481C1C}">
                          <a14:useLocalDpi xmlns:a14="http://schemas.microsoft.com/office/drawing/2010/main" val="0"/>
                        </a:ext>
                      </a:extLst>
                    </a:blip>
                    <a:stretch>
                      <a:fillRect/>
                    </a:stretch>
                  </pic:blipFill>
                  <pic:spPr>
                    <a:xfrm>
                      <a:off x="0" y="0"/>
                      <a:ext cx="2981325" cy="1722755"/>
                    </a:xfrm>
                    <a:prstGeom prst="rect">
                      <a:avLst/>
                    </a:prstGeom>
                  </pic:spPr>
                </pic:pic>
              </a:graphicData>
            </a:graphic>
            <wp14:sizeRelH relativeFrom="page">
              <wp14:pctWidth>0</wp14:pctWidth>
            </wp14:sizeRelH>
            <wp14:sizeRelV relativeFrom="page">
              <wp14:pctHeight>0</wp14:pctHeight>
            </wp14:sizeRelV>
          </wp:anchor>
        </w:drawing>
      </w:r>
      <w:r w:rsidR="007A082F" w:rsidRPr="007A082F">
        <w:rPr>
          <w:rFonts w:ascii="Arial" w:hAnsi="Arial" w:cs="Arial"/>
          <w:sz w:val="24"/>
          <w:szCs w:val="24"/>
          <w:lang w:val="es-MX"/>
        </w:rPr>
        <w:t xml:space="preserve">Primero que todo las esclusas de </w:t>
      </w:r>
      <w:proofErr w:type="spellStart"/>
      <w:r w:rsidR="007A082F" w:rsidRPr="007A082F">
        <w:rPr>
          <w:rFonts w:ascii="Arial" w:hAnsi="Arial" w:cs="Arial"/>
          <w:sz w:val="24"/>
          <w:szCs w:val="24"/>
          <w:lang w:val="es-MX"/>
        </w:rPr>
        <w:t>Fonsennares</w:t>
      </w:r>
      <w:proofErr w:type="spellEnd"/>
      <w:r w:rsidR="007A082F" w:rsidRPr="007A082F">
        <w:rPr>
          <w:rFonts w:ascii="Arial" w:hAnsi="Arial" w:cs="Arial"/>
          <w:sz w:val="24"/>
          <w:szCs w:val="24"/>
          <w:lang w:val="es-MX"/>
        </w:rPr>
        <w:t xml:space="preserve"> ubicadas en </w:t>
      </w:r>
      <w:proofErr w:type="spellStart"/>
      <w:r w:rsidR="007A082F" w:rsidRPr="007A082F">
        <w:rPr>
          <w:rFonts w:ascii="Arial" w:hAnsi="Arial" w:cs="Arial"/>
          <w:sz w:val="24"/>
          <w:szCs w:val="24"/>
          <w:lang w:val="es-MX"/>
        </w:rPr>
        <w:t>Beziers</w:t>
      </w:r>
      <w:proofErr w:type="spellEnd"/>
      <w:r w:rsidR="007A082F" w:rsidRPr="007A082F">
        <w:rPr>
          <w:rFonts w:ascii="Arial" w:hAnsi="Arial" w:cs="Arial"/>
          <w:sz w:val="24"/>
          <w:szCs w:val="24"/>
          <w:lang w:val="es-MX"/>
        </w:rPr>
        <w:t xml:space="preserve"> son el proyecto más importante del Canal Du mi di</w:t>
      </w:r>
      <w:r w:rsidR="00D323B5">
        <w:rPr>
          <w:rFonts w:ascii="Arial" w:hAnsi="Arial" w:cs="Arial"/>
          <w:sz w:val="24"/>
          <w:szCs w:val="24"/>
          <w:lang w:val="es-MX"/>
        </w:rPr>
        <w:t xml:space="preserve"> o Canal del Mediodía</w:t>
      </w:r>
      <w:r w:rsidR="00147392">
        <w:rPr>
          <w:rFonts w:ascii="Arial" w:hAnsi="Arial" w:cs="Arial"/>
          <w:sz w:val="24"/>
          <w:szCs w:val="24"/>
          <w:lang w:val="es-MX"/>
        </w:rPr>
        <w:t>. Junto con el Canal Garona unen el Océano Atlántico con el Mar Mediterráneo. E</w:t>
      </w:r>
      <w:r w:rsidR="007A082F" w:rsidRPr="007A082F">
        <w:rPr>
          <w:rFonts w:ascii="Arial" w:hAnsi="Arial" w:cs="Arial"/>
          <w:sz w:val="24"/>
          <w:szCs w:val="24"/>
          <w:lang w:val="es-MX"/>
        </w:rPr>
        <w:t>n 300 metros</w:t>
      </w:r>
      <w:r>
        <w:rPr>
          <w:rFonts w:ascii="Arial" w:hAnsi="Arial" w:cs="Arial"/>
          <w:sz w:val="24"/>
          <w:szCs w:val="24"/>
          <w:lang w:val="es-MX"/>
        </w:rPr>
        <w:t xml:space="preserve"> los buques</w:t>
      </w:r>
      <w:r w:rsidR="007A082F" w:rsidRPr="007A082F">
        <w:rPr>
          <w:rFonts w:ascii="Arial" w:hAnsi="Arial" w:cs="Arial"/>
          <w:sz w:val="24"/>
          <w:szCs w:val="24"/>
          <w:lang w:val="es-MX"/>
        </w:rPr>
        <w:t xml:space="preserve"> </w:t>
      </w:r>
      <w:r w:rsidR="007A082F">
        <w:rPr>
          <w:rFonts w:ascii="Arial" w:hAnsi="Arial" w:cs="Arial"/>
          <w:sz w:val="24"/>
          <w:szCs w:val="24"/>
          <w:lang w:val="es-MX"/>
        </w:rPr>
        <w:t xml:space="preserve">se elevan y descienden </w:t>
      </w:r>
      <w:r>
        <w:rPr>
          <w:rFonts w:ascii="Arial" w:hAnsi="Arial" w:cs="Arial"/>
          <w:sz w:val="24"/>
          <w:szCs w:val="24"/>
          <w:lang w:val="es-MX"/>
        </w:rPr>
        <w:t xml:space="preserve">21,5 metros, esto ocurre </w:t>
      </w:r>
      <w:r w:rsidR="007A082F">
        <w:rPr>
          <w:rFonts w:ascii="Arial" w:hAnsi="Arial" w:cs="Arial"/>
          <w:sz w:val="24"/>
          <w:szCs w:val="24"/>
          <w:lang w:val="es-MX"/>
        </w:rPr>
        <w:t>a través de</w:t>
      </w:r>
      <w:r w:rsidR="007A082F" w:rsidRPr="007A082F">
        <w:rPr>
          <w:rFonts w:ascii="Arial" w:hAnsi="Arial" w:cs="Arial"/>
          <w:sz w:val="24"/>
          <w:szCs w:val="24"/>
          <w:lang w:val="es-MX"/>
        </w:rPr>
        <w:t xml:space="preserve"> un intercambio de agua</w:t>
      </w:r>
      <w:r w:rsidR="007A082F">
        <w:rPr>
          <w:rFonts w:ascii="Arial" w:hAnsi="Arial" w:cs="Arial"/>
          <w:sz w:val="24"/>
          <w:szCs w:val="24"/>
          <w:lang w:val="es-MX"/>
        </w:rPr>
        <w:t xml:space="preserve"> </w:t>
      </w:r>
      <w:r w:rsidR="007A082F" w:rsidRPr="007A082F">
        <w:rPr>
          <w:rFonts w:ascii="Arial" w:hAnsi="Arial" w:cs="Arial"/>
          <w:sz w:val="24"/>
          <w:szCs w:val="24"/>
          <w:lang w:val="es-MX"/>
        </w:rPr>
        <w:t xml:space="preserve">entre las 9 esclusas </w:t>
      </w:r>
      <w:r>
        <w:rPr>
          <w:rFonts w:ascii="Arial" w:hAnsi="Arial" w:cs="Arial"/>
          <w:sz w:val="24"/>
          <w:szCs w:val="24"/>
          <w:lang w:val="es-MX"/>
        </w:rPr>
        <w:t xml:space="preserve">y 8 estanques </w:t>
      </w:r>
      <w:r w:rsidR="007A082F" w:rsidRPr="007A082F">
        <w:rPr>
          <w:rFonts w:ascii="Arial" w:hAnsi="Arial" w:cs="Arial"/>
          <w:sz w:val="24"/>
          <w:szCs w:val="24"/>
          <w:lang w:val="es-MX"/>
        </w:rPr>
        <w:t>que lo componen, con el fin de hacer navegables los desniveles del canal</w:t>
      </w:r>
      <w:r w:rsidR="007A082F">
        <w:rPr>
          <w:rFonts w:ascii="Arial" w:hAnsi="Arial" w:cs="Arial"/>
          <w:sz w:val="24"/>
          <w:szCs w:val="24"/>
          <w:lang w:val="es-MX"/>
        </w:rPr>
        <w:t>.</w:t>
      </w:r>
    </w:p>
    <w:p w14:paraId="7F71B319" w14:textId="4D0377A3" w:rsidR="00A93B67" w:rsidRDefault="00A93B67" w:rsidP="00DB307A">
      <w:pPr>
        <w:jc w:val="both"/>
        <w:rPr>
          <w:rFonts w:ascii="Arial" w:hAnsi="Arial" w:cs="Arial"/>
          <w:sz w:val="24"/>
          <w:szCs w:val="24"/>
          <w:lang w:val="es-MX"/>
        </w:rPr>
      </w:pPr>
    </w:p>
    <w:p w14:paraId="7C3E4177" w14:textId="740D99EB" w:rsidR="00A93B67" w:rsidRDefault="00A93B67" w:rsidP="00DB307A">
      <w:pPr>
        <w:jc w:val="both"/>
        <w:rPr>
          <w:rFonts w:ascii="Arial" w:hAnsi="Arial" w:cs="Arial"/>
          <w:sz w:val="24"/>
          <w:szCs w:val="24"/>
          <w:lang w:val="es-MX"/>
        </w:rPr>
      </w:pPr>
      <w:r>
        <w:rPr>
          <w:rFonts w:ascii="Arial" w:hAnsi="Arial" w:cs="Arial"/>
          <w:noProof/>
          <w:sz w:val="24"/>
          <w:szCs w:val="24"/>
          <w:lang w:val="es-MX"/>
        </w:rPr>
        <w:drawing>
          <wp:anchor distT="0" distB="0" distL="114300" distR="114300" simplePos="0" relativeHeight="251658240" behindDoc="1" locked="0" layoutInCell="1" allowOverlap="1" wp14:anchorId="230F3541" wp14:editId="48D6D38B">
            <wp:simplePos x="0" y="0"/>
            <wp:positionH relativeFrom="margin">
              <wp:align>left</wp:align>
            </wp:positionH>
            <wp:positionV relativeFrom="paragraph">
              <wp:posOffset>1786890</wp:posOffset>
            </wp:positionV>
            <wp:extent cx="3010535" cy="1771650"/>
            <wp:effectExtent l="0" t="0" r="0" b="0"/>
            <wp:wrapTight wrapText="bothSides">
              <wp:wrapPolygon edited="0">
                <wp:start x="0" y="0"/>
                <wp:lineTo x="0" y="21368"/>
                <wp:lineTo x="21459" y="21368"/>
                <wp:lineTo x="21459"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9">
                      <a:extLst>
                        <a:ext uri="{28A0092B-C50C-407E-A947-70E740481C1C}">
                          <a14:useLocalDpi xmlns:a14="http://schemas.microsoft.com/office/drawing/2010/main" val="0"/>
                        </a:ext>
                      </a:extLst>
                    </a:blip>
                    <a:stretch>
                      <a:fillRect/>
                    </a:stretch>
                  </pic:blipFill>
                  <pic:spPr>
                    <a:xfrm>
                      <a:off x="0" y="0"/>
                      <a:ext cx="3010535" cy="1771650"/>
                    </a:xfrm>
                    <a:prstGeom prst="rect">
                      <a:avLst/>
                    </a:prstGeom>
                  </pic:spPr>
                </pic:pic>
              </a:graphicData>
            </a:graphic>
            <wp14:sizeRelH relativeFrom="page">
              <wp14:pctWidth>0</wp14:pctWidth>
            </wp14:sizeRelH>
            <wp14:sizeRelV relativeFrom="page">
              <wp14:pctHeight>0</wp14:pctHeight>
            </wp14:sizeRelV>
          </wp:anchor>
        </w:drawing>
      </w:r>
    </w:p>
    <w:p w14:paraId="1666ADF0" w14:textId="5D503C40" w:rsidR="00147392" w:rsidRDefault="00147392" w:rsidP="00DB307A">
      <w:pPr>
        <w:jc w:val="both"/>
        <w:rPr>
          <w:rFonts w:ascii="Arial" w:hAnsi="Arial" w:cs="Arial"/>
          <w:sz w:val="24"/>
          <w:szCs w:val="24"/>
          <w:lang w:val="es-MX"/>
        </w:rPr>
      </w:pPr>
    </w:p>
    <w:p w14:paraId="7F2EC3A6" w14:textId="7C05962B" w:rsidR="004E6388" w:rsidRDefault="007A082F" w:rsidP="00DB307A">
      <w:pPr>
        <w:jc w:val="both"/>
        <w:rPr>
          <w:rFonts w:ascii="Arial" w:hAnsi="Arial" w:cs="Arial"/>
          <w:sz w:val="24"/>
          <w:szCs w:val="24"/>
          <w:lang w:val="es-MX"/>
        </w:rPr>
      </w:pPr>
      <w:r w:rsidRPr="007A082F">
        <w:rPr>
          <w:rFonts w:ascii="Arial" w:hAnsi="Arial" w:cs="Arial"/>
          <w:sz w:val="24"/>
          <w:szCs w:val="24"/>
          <w:lang w:val="es-MX"/>
        </w:rPr>
        <w:t>El procedimiento consiste en igualar las aguas de las esclusas de acuerdo al avance de la embarcación, esto se realiza a través de las compuertas que las separan, a medida que se avanza la embarcación debe utilizar los cabos de las esclusas con el fin de que la embarcación sufra el menor movimiento posible. Por ejemplo,</w:t>
      </w:r>
      <w:r w:rsidR="00D323B5">
        <w:rPr>
          <w:rFonts w:ascii="Arial" w:hAnsi="Arial" w:cs="Arial"/>
          <w:sz w:val="24"/>
          <w:szCs w:val="24"/>
          <w:lang w:val="es-MX"/>
        </w:rPr>
        <w:t xml:space="preserve"> la embarcación entrará a la primera esclusa, la cual</w:t>
      </w:r>
      <w:r w:rsidRPr="007A082F">
        <w:rPr>
          <w:rFonts w:ascii="Arial" w:hAnsi="Arial" w:cs="Arial"/>
          <w:sz w:val="24"/>
          <w:szCs w:val="24"/>
          <w:lang w:val="es-MX"/>
        </w:rPr>
        <w:t xml:space="preserve"> estará al nivel del canal</w:t>
      </w:r>
      <w:r w:rsidR="00D323B5">
        <w:rPr>
          <w:rFonts w:ascii="Arial" w:hAnsi="Arial" w:cs="Arial"/>
          <w:sz w:val="24"/>
          <w:szCs w:val="24"/>
          <w:lang w:val="es-MX"/>
        </w:rPr>
        <w:t xml:space="preserve"> de Garona.</w:t>
      </w:r>
      <w:r w:rsidRPr="007A082F">
        <w:rPr>
          <w:rFonts w:ascii="Arial" w:hAnsi="Arial" w:cs="Arial"/>
          <w:sz w:val="24"/>
          <w:szCs w:val="24"/>
          <w:lang w:val="es-MX"/>
        </w:rPr>
        <w:t xml:space="preserve"> </w:t>
      </w:r>
      <w:r w:rsidR="00D323B5">
        <w:rPr>
          <w:rFonts w:ascii="Arial" w:hAnsi="Arial" w:cs="Arial"/>
          <w:sz w:val="24"/>
          <w:szCs w:val="24"/>
          <w:lang w:val="es-MX"/>
        </w:rPr>
        <w:t>L</w:t>
      </w:r>
      <w:r w:rsidRPr="007A082F">
        <w:rPr>
          <w:rFonts w:ascii="Arial" w:hAnsi="Arial" w:cs="Arial"/>
          <w:sz w:val="24"/>
          <w:szCs w:val="24"/>
          <w:lang w:val="es-MX"/>
        </w:rPr>
        <w:t>a</w:t>
      </w:r>
      <w:r w:rsidR="00DB307A">
        <w:rPr>
          <w:rFonts w:ascii="Arial" w:hAnsi="Arial" w:cs="Arial"/>
          <w:sz w:val="24"/>
          <w:szCs w:val="24"/>
          <w:lang w:val="es-MX"/>
        </w:rPr>
        <w:t xml:space="preserve"> primera</w:t>
      </w:r>
      <w:r w:rsidRPr="007A082F">
        <w:rPr>
          <w:rFonts w:ascii="Arial" w:hAnsi="Arial" w:cs="Arial"/>
          <w:sz w:val="24"/>
          <w:szCs w:val="24"/>
          <w:lang w:val="es-MX"/>
        </w:rPr>
        <w:t xml:space="preserve"> compuerta se cerrará y la </w:t>
      </w:r>
      <w:r w:rsidR="00DB307A">
        <w:rPr>
          <w:rFonts w:ascii="Arial" w:hAnsi="Arial" w:cs="Arial"/>
          <w:sz w:val="24"/>
          <w:szCs w:val="24"/>
          <w:lang w:val="es-MX"/>
        </w:rPr>
        <w:t xml:space="preserve">siguiente </w:t>
      </w:r>
      <w:r w:rsidRPr="007A082F">
        <w:rPr>
          <w:rFonts w:ascii="Arial" w:hAnsi="Arial" w:cs="Arial"/>
          <w:sz w:val="24"/>
          <w:szCs w:val="24"/>
          <w:lang w:val="es-MX"/>
        </w:rPr>
        <w:t>compuerta que separa la primera esclusa con la segunda</w:t>
      </w:r>
      <w:r w:rsidR="00DB307A">
        <w:rPr>
          <w:rFonts w:ascii="Arial" w:hAnsi="Arial" w:cs="Arial"/>
          <w:sz w:val="24"/>
          <w:szCs w:val="24"/>
          <w:lang w:val="es-MX"/>
        </w:rPr>
        <w:t>,</w:t>
      </w:r>
      <w:r w:rsidRPr="007A082F">
        <w:rPr>
          <w:rFonts w:ascii="Arial" w:hAnsi="Arial" w:cs="Arial"/>
          <w:sz w:val="24"/>
          <w:szCs w:val="24"/>
          <w:lang w:val="es-MX"/>
        </w:rPr>
        <w:t xml:space="preserve"> progresivamente hará pasar el agua hasta que el nivel </w:t>
      </w:r>
      <w:r w:rsidR="00AB06BA" w:rsidRPr="007A082F">
        <w:rPr>
          <w:rFonts w:ascii="Arial" w:hAnsi="Arial" w:cs="Arial"/>
          <w:sz w:val="24"/>
          <w:szCs w:val="24"/>
          <w:lang w:val="es-MX"/>
        </w:rPr>
        <w:t>D</w:t>
      </w:r>
      <w:r w:rsidR="00AB06BA">
        <w:rPr>
          <w:rFonts w:ascii="Arial" w:hAnsi="Arial" w:cs="Arial"/>
          <w:sz w:val="24"/>
          <w:szCs w:val="24"/>
          <w:lang w:val="es-MX"/>
        </w:rPr>
        <w:t>el agua</w:t>
      </w:r>
      <w:r w:rsidR="00DB307A">
        <w:rPr>
          <w:rFonts w:ascii="Arial" w:hAnsi="Arial" w:cs="Arial"/>
          <w:sz w:val="24"/>
          <w:szCs w:val="24"/>
          <w:lang w:val="es-MX"/>
        </w:rPr>
        <w:t>,</w:t>
      </w:r>
      <w:r w:rsidRPr="007A082F">
        <w:rPr>
          <w:rFonts w:ascii="Arial" w:hAnsi="Arial" w:cs="Arial"/>
          <w:sz w:val="24"/>
          <w:szCs w:val="24"/>
          <w:lang w:val="es-MX"/>
        </w:rPr>
        <w:t xml:space="preserve"> sea el mismo</w:t>
      </w:r>
      <w:r w:rsidR="00DB307A">
        <w:rPr>
          <w:rFonts w:ascii="Arial" w:hAnsi="Arial" w:cs="Arial"/>
          <w:sz w:val="24"/>
          <w:szCs w:val="24"/>
          <w:lang w:val="es-MX"/>
        </w:rPr>
        <w:t xml:space="preserve"> en ambas esclusas</w:t>
      </w:r>
      <w:r w:rsidRPr="007A082F">
        <w:rPr>
          <w:rFonts w:ascii="Arial" w:hAnsi="Arial" w:cs="Arial"/>
          <w:sz w:val="24"/>
          <w:szCs w:val="24"/>
          <w:lang w:val="es-MX"/>
        </w:rPr>
        <w:t xml:space="preserve"> (el nivel del agua subirá</w:t>
      </w:r>
      <w:r>
        <w:rPr>
          <w:rFonts w:ascii="Arial" w:hAnsi="Arial" w:cs="Arial"/>
          <w:sz w:val="24"/>
          <w:szCs w:val="24"/>
          <w:lang w:val="es-MX"/>
        </w:rPr>
        <w:t xml:space="preserve"> si se va del </w:t>
      </w:r>
      <w:r w:rsidR="00DB307A">
        <w:rPr>
          <w:rFonts w:ascii="Arial" w:hAnsi="Arial" w:cs="Arial"/>
          <w:sz w:val="24"/>
          <w:szCs w:val="24"/>
          <w:lang w:val="es-MX"/>
        </w:rPr>
        <w:t>océano Atlántico al Mediterráneo y ocurrirá el efecto contrario si la navegación es en la dirección contraria</w:t>
      </w:r>
      <w:r w:rsidRPr="007A082F">
        <w:rPr>
          <w:rFonts w:ascii="Arial" w:hAnsi="Arial" w:cs="Arial"/>
          <w:sz w:val="24"/>
          <w:szCs w:val="24"/>
          <w:lang w:val="es-MX"/>
        </w:rPr>
        <w:t xml:space="preserve">), cuando este se haya estabilizado avanzará a la segunda esclusa, se cerrará la compuerta recién abierta y de la misma forma </w:t>
      </w:r>
      <w:r w:rsidRPr="007A082F">
        <w:rPr>
          <w:rFonts w:ascii="Arial" w:hAnsi="Arial" w:cs="Arial"/>
          <w:sz w:val="24"/>
          <w:szCs w:val="24"/>
          <w:lang w:val="es-MX"/>
        </w:rPr>
        <w:lastRenderedPageBreak/>
        <w:t>anterior la compuerta que separa la segunda con la tercera esclusa regulará los niveles de agua hasta equilibrarlos, y así gradualmente hasta llegar al nivel de la última esclusa la cual estará al nivel del Mar mediterráneo.</w:t>
      </w:r>
      <w:r w:rsidR="00AB06BA">
        <w:rPr>
          <w:rFonts w:ascii="Arial" w:hAnsi="Arial" w:cs="Arial"/>
          <w:sz w:val="24"/>
          <w:szCs w:val="24"/>
          <w:lang w:val="es-MX"/>
        </w:rPr>
        <w:t xml:space="preserve"> A continuación, se adjunta</w:t>
      </w:r>
      <w:r w:rsidR="007B0A4C">
        <w:rPr>
          <w:rFonts w:ascii="Arial" w:hAnsi="Arial" w:cs="Arial"/>
          <w:sz w:val="24"/>
          <w:szCs w:val="24"/>
          <w:lang w:val="es-MX"/>
        </w:rPr>
        <w:t xml:space="preserve"> una</w:t>
      </w:r>
      <w:r w:rsidR="00AB06BA">
        <w:rPr>
          <w:rFonts w:ascii="Arial" w:hAnsi="Arial" w:cs="Arial"/>
          <w:sz w:val="24"/>
          <w:szCs w:val="24"/>
          <w:lang w:val="es-MX"/>
        </w:rPr>
        <w:t xml:space="preserve"> </w:t>
      </w:r>
      <w:r w:rsidR="007B0A4C">
        <w:rPr>
          <w:rFonts w:ascii="Arial" w:hAnsi="Arial" w:cs="Arial"/>
          <w:sz w:val="24"/>
          <w:szCs w:val="24"/>
          <w:lang w:val="es-MX"/>
        </w:rPr>
        <w:t>imagen</w:t>
      </w:r>
      <w:r w:rsidR="00AB06BA">
        <w:rPr>
          <w:rFonts w:ascii="Arial" w:hAnsi="Arial" w:cs="Arial"/>
          <w:sz w:val="24"/>
          <w:szCs w:val="24"/>
          <w:lang w:val="es-MX"/>
        </w:rPr>
        <w:t xml:space="preserve"> para </w:t>
      </w:r>
      <w:r w:rsidR="007B0A4C">
        <w:rPr>
          <w:rFonts w:ascii="Arial" w:hAnsi="Arial" w:cs="Arial"/>
          <w:sz w:val="24"/>
          <w:szCs w:val="24"/>
          <w:lang w:val="es-MX"/>
        </w:rPr>
        <w:t xml:space="preserve">una </w:t>
      </w:r>
      <w:r w:rsidR="00AB06BA">
        <w:rPr>
          <w:rFonts w:ascii="Arial" w:hAnsi="Arial" w:cs="Arial"/>
          <w:sz w:val="24"/>
          <w:szCs w:val="24"/>
          <w:lang w:val="es-MX"/>
        </w:rPr>
        <w:t>mayor comprensión respecto a</w:t>
      </w:r>
      <w:r w:rsidR="007B0A4C">
        <w:rPr>
          <w:rFonts w:ascii="Arial" w:hAnsi="Arial" w:cs="Arial"/>
          <w:noProof/>
          <w:sz w:val="24"/>
          <w:szCs w:val="24"/>
          <w:lang w:val="es-MX"/>
        </w:rPr>
        <w:drawing>
          <wp:anchor distT="0" distB="0" distL="114300" distR="114300" simplePos="0" relativeHeight="251660288" behindDoc="1" locked="0" layoutInCell="1" allowOverlap="1" wp14:anchorId="5E761BC7" wp14:editId="515EECB2">
            <wp:simplePos x="0" y="0"/>
            <wp:positionH relativeFrom="margin">
              <wp:align>left</wp:align>
            </wp:positionH>
            <wp:positionV relativeFrom="paragraph">
              <wp:posOffset>956945</wp:posOffset>
            </wp:positionV>
            <wp:extent cx="5629275" cy="2752725"/>
            <wp:effectExtent l="0" t="0" r="9525" b="9525"/>
            <wp:wrapTight wrapText="bothSides">
              <wp:wrapPolygon edited="0">
                <wp:start x="0" y="0"/>
                <wp:lineTo x="0" y="21525"/>
                <wp:lineTo x="21563" y="21525"/>
                <wp:lineTo x="21563"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29275" cy="2752725"/>
                    </a:xfrm>
                    <a:prstGeom prst="rect">
                      <a:avLst/>
                    </a:prstGeom>
                    <a:noFill/>
                  </pic:spPr>
                </pic:pic>
              </a:graphicData>
            </a:graphic>
            <wp14:sizeRelH relativeFrom="page">
              <wp14:pctWidth>0</wp14:pctWidth>
            </wp14:sizeRelH>
            <wp14:sizeRelV relativeFrom="page">
              <wp14:pctHeight>0</wp14:pctHeight>
            </wp14:sizeRelV>
          </wp:anchor>
        </w:drawing>
      </w:r>
      <w:r w:rsidR="007B0A4C">
        <w:rPr>
          <w:rFonts w:ascii="Arial" w:hAnsi="Arial" w:cs="Arial"/>
          <w:sz w:val="24"/>
          <w:szCs w:val="24"/>
          <w:lang w:val="es-MX"/>
        </w:rPr>
        <w:t>l</w:t>
      </w:r>
      <w:r w:rsidR="00AB06BA">
        <w:rPr>
          <w:rFonts w:ascii="Arial" w:hAnsi="Arial" w:cs="Arial"/>
          <w:sz w:val="24"/>
          <w:szCs w:val="24"/>
          <w:lang w:val="es-MX"/>
        </w:rPr>
        <w:t xml:space="preserve"> funcionamiento de estas.</w:t>
      </w:r>
    </w:p>
    <w:p w14:paraId="1D6E9AE4" w14:textId="3E7A1210" w:rsidR="00D323B5" w:rsidRDefault="00D323B5" w:rsidP="00DB307A">
      <w:pPr>
        <w:jc w:val="both"/>
        <w:rPr>
          <w:rFonts w:ascii="Arial" w:hAnsi="Arial" w:cs="Arial"/>
          <w:sz w:val="24"/>
          <w:szCs w:val="24"/>
          <w:lang w:val="es-MX"/>
        </w:rPr>
      </w:pPr>
    </w:p>
    <w:p w14:paraId="19D2AF8E" w14:textId="127FDC61" w:rsidR="00D323B5" w:rsidRDefault="00D323B5" w:rsidP="00DB307A">
      <w:pPr>
        <w:jc w:val="both"/>
        <w:rPr>
          <w:rFonts w:ascii="Arial" w:hAnsi="Arial" w:cs="Arial"/>
          <w:sz w:val="24"/>
          <w:szCs w:val="24"/>
          <w:lang w:val="es-MX"/>
        </w:rPr>
      </w:pPr>
    </w:p>
    <w:p w14:paraId="63FA30F9" w14:textId="32BF1758" w:rsidR="00D323B5" w:rsidRDefault="00D323B5" w:rsidP="00DB307A">
      <w:pPr>
        <w:jc w:val="both"/>
        <w:rPr>
          <w:rFonts w:ascii="Arial" w:hAnsi="Arial" w:cs="Arial"/>
          <w:sz w:val="24"/>
          <w:szCs w:val="24"/>
          <w:lang w:val="es-MX"/>
        </w:rPr>
      </w:pPr>
    </w:p>
    <w:p w14:paraId="78890C6F" w14:textId="6BF17C66" w:rsidR="00D323B5" w:rsidRDefault="00D323B5" w:rsidP="00DB307A">
      <w:pPr>
        <w:jc w:val="both"/>
        <w:rPr>
          <w:rFonts w:ascii="Arial" w:hAnsi="Arial" w:cs="Arial"/>
          <w:sz w:val="24"/>
          <w:szCs w:val="24"/>
          <w:lang w:val="es-MX"/>
        </w:rPr>
      </w:pPr>
    </w:p>
    <w:p w14:paraId="210B2B58" w14:textId="05063666" w:rsidR="00D323B5" w:rsidRDefault="00D323B5" w:rsidP="00DB307A">
      <w:pPr>
        <w:jc w:val="both"/>
        <w:rPr>
          <w:rFonts w:ascii="Arial" w:hAnsi="Arial" w:cs="Arial"/>
          <w:sz w:val="24"/>
          <w:szCs w:val="24"/>
          <w:lang w:val="es-MX"/>
        </w:rPr>
      </w:pPr>
    </w:p>
    <w:p w14:paraId="733DFF6B" w14:textId="07867266" w:rsidR="00D323B5" w:rsidRPr="00B306E0" w:rsidRDefault="00D323B5" w:rsidP="00DB307A">
      <w:pPr>
        <w:jc w:val="both"/>
        <w:rPr>
          <w:rFonts w:ascii="Arial" w:hAnsi="Arial" w:cs="Arial"/>
          <w:sz w:val="24"/>
          <w:szCs w:val="24"/>
          <w:lang w:val="es-MX"/>
        </w:rPr>
      </w:pPr>
    </w:p>
    <w:sectPr w:rsidR="00D323B5" w:rsidRPr="00B306E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F5640" w14:textId="77777777" w:rsidR="0063390D" w:rsidRDefault="0063390D" w:rsidP="0092438E">
      <w:pPr>
        <w:spacing w:after="0" w:line="240" w:lineRule="auto"/>
      </w:pPr>
      <w:r>
        <w:separator/>
      </w:r>
    </w:p>
  </w:endnote>
  <w:endnote w:type="continuationSeparator" w:id="0">
    <w:p w14:paraId="6765AB84" w14:textId="77777777" w:rsidR="0063390D" w:rsidRDefault="0063390D" w:rsidP="009243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41D56F" w14:textId="77777777" w:rsidR="0063390D" w:rsidRDefault="0063390D" w:rsidP="0092438E">
      <w:pPr>
        <w:spacing w:after="0" w:line="240" w:lineRule="auto"/>
      </w:pPr>
      <w:r>
        <w:separator/>
      </w:r>
    </w:p>
  </w:footnote>
  <w:footnote w:type="continuationSeparator" w:id="0">
    <w:p w14:paraId="3AF08312" w14:textId="77777777" w:rsidR="0063390D" w:rsidRDefault="0063390D" w:rsidP="0092438E">
      <w:pPr>
        <w:spacing w:after="0" w:line="240" w:lineRule="auto"/>
      </w:pPr>
      <w:r>
        <w:continuationSeparator/>
      </w:r>
    </w:p>
  </w:footnote>
  <w:footnote w:id="1">
    <w:p w14:paraId="59D07A89" w14:textId="45DE12DA" w:rsidR="0092438E" w:rsidRPr="0092438E" w:rsidRDefault="0092438E">
      <w:pPr>
        <w:pStyle w:val="Textonotapie"/>
        <w:rPr>
          <w:lang w:val="es-MX"/>
        </w:rPr>
      </w:pPr>
      <w:r>
        <w:rPr>
          <w:rStyle w:val="Refdenotaalpie"/>
        </w:rPr>
        <w:footnoteRef/>
      </w:r>
      <w:r>
        <w:t xml:space="preserve"> </w:t>
      </w:r>
      <w:hyperlink r:id="rId1" w:history="1">
        <w:r w:rsidRPr="009727EB">
          <w:rPr>
            <w:rStyle w:val="Hipervnculo"/>
          </w:rPr>
          <w:t>http://etimologias.dechile.net/?tonelada</w:t>
        </w:r>
      </w:hyperlink>
      <w:r>
        <w:t xml:space="preserve"> </w:t>
      </w:r>
    </w:p>
  </w:footnote>
  <w:footnote w:id="2">
    <w:p w14:paraId="782CA740" w14:textId="55067324" w:rsidR="0092438E" w:rsidRPr="0092438E" w:rsidRDefault="0092438E">
      <w:pPr>
        <w:pStyle w:val="Textonotapie"/>
        <w:rPr>
          <w:lang w:val="es-MX"/>
        </w:rPr>
      </w:pPr>
      <w:r>
        <w:rPr>
          <w:rStyle w:val="Refdenotaalpie"/>
        </w:rPr>
        <w:footnoteRef/>
      </w:r>
      <w:r>
        <w:t xml:space="preserve"> </w:t>
      </w:r>
      <w:hyperlink r:id="rId2" w:history="1">
        <w:r w:rsidRPr="009727EB">
          <w:rPr>
            <w:rStyle w:val="Hipervnculo"/>
          </w:rPr>
          <w:t>https://definiciona.com/tonelada/</w:t>
        </w:r>
      </w:hyperlink>
      <w:r>
        <w:t xml:space="preserve"> </w:t>
      </w:r>
    </w:p>
  </w:footnote>
  <w:footnote w:id="3">
    <w:p w14:paraId="119CF3B8" w14:textId="3F804E1C" w:rsidR="004C75A2" w:rsidRDefault="004C75A2">
      <w:pPr>
        <w:pStyle w:val="Textonotapie"/>
      </w:pPr>
      <w:r>
        <w:rPr>
          <w:rStyle w:val="Refdenotaalpie"/>
        </w:rPr>
        <w:footnoteRef/>
      </w:r>
      <w:r>
        <w:t xml:space="preserve"> </w:t>
      </w:r>
      <w:hyperlink r:id="rId3" w:history="1">
        <w:r w:rsidRPr="0059034B">
          <w:rPr>
            <w:rStyle w:val="Hipervnculo"/>
          </w:rPr>
          <w:t>https://dle.rae.es/tonelada#FS06v35</w:t>
        </w:r>
      </w:hyperlink>
      <w:r>
        <w:t xml:space="preserve"> </w:t>
      </w:r>
    </w:p>
  </w:footnote>
  <w:footnote w:id="4">
    <w:p w14:paraId="58D49175" w14:textId="5D9E72A4" w:rsidR="004C75A2" w:rsidRDefault="004C75A2">
      <w:pPr>
        <w:pStyle w:val="Textonotapie"/>
      </w:pPr>
      <w:r>
        <w:rPr>
          <w:rStyle w:val="Refdenotaalpie"/>
        </w:rPr>
        <w:footnoteRef/>
      </w:r>
      <w:hyperlink r:id="rId4" w:history="1">
        <w:r w:rsidRPr="0059034B">
          <w:rPr>
            <w:rStyle w:val="Hipervnculo"/>
          </w:rPr>
          <w:t>https://es.wikipedia.org/wiki/Tonelada#:~:text=La%20tonelada%20(Tm)%20fue%20originalmente,simplemente%20un%20m%C3%BAltiplo%20del%20kilogramo</w:t>
        </w:r>
      </w:hyperlink>
      <w:r w:rsidRPr="004C75A2">
        <w:t>.</w:t>
      </w:r>
      <w:r>
        <w:t xml:space="preserve"> </w:t>
      </w:r>
    </w:p>
  </w:footnote>
  <w:footnote w:id="5">
    <w:p w14:paraId="6AB442C4" w14:textId="4070CF69" w:rsidR="006B79C8" w:rsidRDefault="006B79C8">
      <w:pPr>
        <w:pStyle w:val="Textonotapie"/>
      </w:pPr>
      <w:r>
        <w:rPr>
          <w:rStyle w:val="Refdenotaalpie"/>
        </w:rPr>
        <w:footnoteRef/>
      </w:r>
      <w:r>
        <w:t xml:space="preserve"> </w:t>
      </w:r>
      <w:hyperlink r:id="rId5" w:history="1">
        <w:r w:rsidRPr="0059034B">
          <w:rPr>
            <w:rStyle w:val="Hipervnculo"/>
          </w:rPr>
          <w:t>https://es.wikidat.com/info/tonelada-metrica</w:t>
        </w:r>
      </w:hyperlink>
      <w: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6E0"/>
    <w:rsid w:val="00056CCE"/>
    <w:rsid w:val="000B0553"/>
    <w:rsid w:val="00110E49"/>
    <w:rsid w:val="00147392"/>
    <w:rsid w:val="001F00E5"/>
    <w:rsid w:val="001F41C7"/>
    <w:rsid w:val="00291238"/>
    <w:rsid w:val="003329DE"/>
    <w:rsid w:val="00361194"/>
    <w:rsid w:val="003A0F97"/>
    <w:rsid w:val="004A547F"/>
    <w:rsid w:val="004C75A2"/>
    <w:rsid w:val="004E6388"/>
    <w:rsid w:val="005D4F44"/>
    <w:rsid w:val="005F1884"/>
    <w:rsid w:val="0063390D"/>
    <w:rsid w:val="00654B45"/>
    <w:rsid w:val="006B79C8"/>
    <w:rsid w:val="006C6A8D"/>
    <w:rsid w:val="00760A0A"/>
    <w:rsid w:val="007A082F"/>
    <w:rsid w:val="007B0A4C"/>
    <w:rsid w:val="0090238E"/>
    <w:rsid w:val="0092438E"/>
    <w:rsid w:val="00972A4A"/>
    <w:rsid w:val="009B7607"/>
    <w:rsid w:val="00A93B67"/>
    <w:rsid w:val="00AB06BA"/>
    <w:rsid w:val="00B306E0"/>
    <w:rsid w:val="00C41A78"/>
    <w:rsid w:val="00D323B5"/>
    <w:rsid w:val="00D93EE9"/>
    <w:rsid w:val="00DB307A"/>
    <w:rsid w:val="00F145E9"/>
    <w:rsid w:val="00F277DF"/>
    <w:rsid w:val="00F50796"/>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B7406"/>
  <w15:chartTrackingRefBased/>
  <w15:docId w15:val="{5EAD6E8B-CB68-4B31-A853-8D8CAE3E2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D323B5"/>
    <w:pPr>
      <w:keepNext/>
      <w:keepLines/>
      <w:spacing w:before="240" w:after="0"/>
      <w:outlineLvl w:val="0"/>
    </w:pPr>
    <w:rPr>
      <w:rFonts w:asciiTheme="majorHAnsi" w:eastAsiaTheme="majorEastAsia" w:hAnsiTheme="majorHAnsi" w:cstheme="majorBidi"/>
      <w:color w:val="2F5496" w:themeColor="accent1" w:themeShade="BF"/>
      <w:sz w:val="32"/>
      <w:szCs w:val="32"/>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4F44"/>
    <w:rPr>
      <w:color w:val="0563C1" w:themeColor="hyperlink"/>
      <w:u w:val="single"/>
    </w:rPr>
  </w:style>
  <w:style w:type="character" w:styleId="Mencinsinresolver">
    <w:name w:val="Unresolved Mention"/>
    <w:basedOn w:val="Fuentedeprrafopredeter"/>
    <w:uiPriority w:val="99"/>
    <w:semiHidden/>
    <w:unhideWhenUsed/>
    <w:rsid w:val="005D4F44"/>
    <w:rPr>
      <w:color w:val="605E5C"/>
      <w:shd w:val="clear" w:color="auto" w:fill="E1DFDD"/>
    </w:rPr>
  </w:style>
  <w:style w:type="paragraph" w:styleId="Textonotapie">
    <w:name w:val="footnote text"/>
    <w:basedOn w:val="Normal"/>
    <w:link w:val="TextonotapieCar"/>
    <w:uiPriority w:val="99"/>
    <w:semiHidden/>
    <w:unhideWhenUsed/>
    <w:rsid w:val="0092438E"/>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2438E"/>
    <w:rPr>
      <w:sz w:val="20"/>
      <w:szCs w:val="20"/>
    </w:rPr>
  </w:style>
  <w:style w:type="character" w:styleId="Refdenotaalpie">
    <w:name w:val="footnote reference"/>
    <w:basedOn w:val="Fuentedeprrafopredeter"/>
    <w:uiPriority w:val="99"/>
    <w:semiHidden/>
    <w:unhideWhenUsed/>
    <w:rsid w:val="0092438E"/>
    <w:rPr>
      <w:vertAlign w:val="superscript"/>
    </w:rPr>
  </w:style>
  <w:style w:type="character" w:customStyle="1" w:styleId="Ttulo1Car">
    <w:name w:val="Título 1 Car"/>
    <w:basedOn w:val="Fuentedeprrafopredeter"/>
    <w:link w:val="Ttulo1"/>
    <w:uiPriority w:val="9"/>
    <w:rsid w:val="00D323B5"/>
    <w:rPr>
      <w:rFonts w:asciiTheme="majorHAnsi" w:eastAsiaTheme="majorEastAsia" w:hAnsiTheme="majorHAnsi" w:cstheme="majorBidi"/>
      <w:color w:val="2F5496" w:themeColor="accent1" w:themeShade="BF"/>
      <w:sz w:val="32"/>
      <w:szCs w:val="32"/>
      <w:lang w:eastAsia="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g"/></Relationships>
</file>

<file path=word/_rels/footnotes.xml.rels><?xml version="1.0" encoding="UTF-8" standalone="yes"?>
<Relationships xmlns="http://schemas.openxmlformats.org/package/2006/relationships"><Relationship Id="rId3" Type="http://schemas.openxmlformats.org/officeDocument/2006/relationships/hyperlink" Target="https://dle.rae.es/tonelada#FS06v35" TargetMode="External"/><Relationship Id="rId2" Type="http://schemas.openxmlformats.org/officeDocument/2006/relationships/hyperlink" Target="https://definiciona.com/tonelada/" TargetMode="External"/><Relationship Id="rId1" Type="http://schemas.openxmlformats.org/officeDocument/2006/relationships/hyperlink" Target="http://etimologias.dechile.net/?tonelada" TargetMode="External"/><Relationship Id="rId5" Type="http://schemas.openxmlformats.org/officeDocument/2006/relationships/hyperlink" Target="https://es.wikidat.com/info/tonelada-metrica" TargetMode="External"/><Relationship Id="rId4" Type="http://schemas.openxmlformats.org/officeDocument/2006/relationships/hyperlink" Target="https://es.wikipedia.org/wiki/Tonelada#:~:text=La%20tonelada%20(Tm)%20fue%20originalmente,simplemente%20un%20m%C3%BAltiplo%20del%20kilogram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983F22-0BAB-463D-AC9E-5BFF0D302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573</Words>
  <Characters>3155</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fernanda paz</dc:creator>
  <cp:keywords/>
  <dc:description/>
  <cp:lastModifiedBy>fernanda paz</cp:lastModifiedBy>
  <cp:revision>4</cp:revision>
  <dcterms:created xsi:type="dcterms:W3CDTF">2022-03-27T02:42:00Z</dcterms:created>
  <dcterms:modified xsi:type="dcterms:W3CDTF">2022-03-27T02:42:00Z</dcterms:modified>
</cp:coreProperties>
</file>