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70E6B" w14:textId="77777777" w:rsidR="00883A39" w:rsidRDefault="00F919FF">
      <w:pPr>
        <w:spacing w:before="240" w:after="240" w:line="360" w:lineRule="auto"/>
        <w:rPr>
          <w:b/>
          <w:i/>
          <w:noProof/>
          <w:sz w:val="24"/>
          <w:szCs w:val="24"/>
          <w:lang w:val="es-CL"/>
        </w:rPr>
      </w:pPr>
      <w:r>
        <w:rPr>
          <w:b/>
          <w:i/>
          <w:sz w:val="24"/>
          <w:szCs w:val="24"/>
        </w:rPr>
        <w:t xml:space="preserve">      </w:t>
      </w:r>
    </w:p>
    <w:p w14:paraId="7A57BDF1" w14:textId="77777777" w:rsidR="00883A39" w:rsidRDefault="00883A39">
      <w:pPr>
        <w:spacing w:before="240" w:after="240" w:line="360" w:lineRule="auto"/>
        <w:rPr>
          <w:b/>
          <w:i/>
          <w:noProof/>
          <w:sz w:val="24"/>
          <w:szCs w:val="24"/>
          <w:lang w:val="es-CL"/>
        </w:rPr>
      </w:pPr>
    </w:p>
    <w:p w14:paraId="7FA3F5D8" w14:textId="77777777" w:rsidR="00D6435F" w:rsidRDefault="00D6435F" w:rsidP="00883A39">
      <w:pPr>
        <w:spacing w:before="240" w:after="240" w:line="360" w:lineRule="auto"/>
        <w:jc w:val="center"/>
        <w:rPr>
          <w:b/>
          <w:i/>
          <w:noProof/>
          <w:sz w:val="24"/>
          <w:szCs w:val="24"/>
          <w:lang w:val="es-CL"/>
        </w:rPr>
      </w:pPr>
    </w:p>
    <w:p w14:paraId="26099D73" w14:textId="367D4A9B" w:rsidR="00BC7CF2" w:rsidRDefault="00F919FF" w:rsidP="00883A39">
      <w:pPr>
        <w:spacing w:before="240" w:after="240" w:line="360" w:lineRule="auto"/>
        <w:jc w:val="center"/>
        <w:rPr>
          <w:b/>
          <w:i/>
          <w:sz w:val="24"/>
          <w:szCs w:val="24"/>
          <w:u w:val="single"/>
        </w:rPr>
      </w:pPr>
      <w:r>
        <w:rPr>
          <w:b/>
          <w:i/>
          <w:sz w:val="24"/>
          <w:szCs w:val="24"/>
          <w:u w:val="single"/>
        </w:rPr>
        <w:t>La brecha sociolingüística en las clases sociales</w:t>
      </w:r>
    </w:p>
    <w:p w14:paraId="74325CAA" w14:textId="77777777" w:rsidR="00883A39" w:rsidRDefault="00F919FF">
      <w:pPr>
        <w:spacing w:before="240" w:after="240" w:line="360" w:lineRule="auto"/>
        <w:jc w:val="both"/>
        <w:rPr>
          <w:sz w:val="24"/>
          <w:szCs w:val="24"/>
        </w:rPr>
      </w:pPr>
      <w:r>
        <w:rPr>
          <w:sz w:val="24"/>
          <w:szCs w:val="24"/>
        </w:rPr>
        <w:t>La sociolingüística es el estudio del lenguaje en su contexto social para "</w:t>
      </w:r>
      <w:r>
        <w:rPr>
          <w:i/>
          <w:sz w:val="24"/>
          <w:szCs w:val="24"/>
        </w:rPr>
        <w:t>lograr un mayor progreso en el conocimiento de la naturaleza y funcionamiento del lenguaje humano</w:t>
      </w:r>
      <w:r>
        <w:rPr>
          <w:sz w:val="24"/>
          <w:szCs w:val="24"/>
        </w:rPr>
        <w:t>”</w:t>
      </w:r>
      <w:r>
        <w:rPr>
          <w:sz w:val="24"/>
          <w:szCs w:val="24"/>
          <w:vertAlign w:val="superscript"/>
        </w:rPr>
        <w:footnoteReference w:id="1"/>
      </w:r>
      <w:r>
        <w:rPr>
          <w:sz w:val="24"/>
          <w:szCs w:val="24"/>
        </w:rPr>
        <w:t>. En este sentido, el lenguaje es tratado como un fenómeno social y cultural, no sólo como un medio</w:t>
      </w:r>
      <w:r>
        <w:rPr>
          <w:sz w:val="24"/>
          <w:szCs w:val="24"/>
          <w:vertAlign w:val="superscript"/>
        </w:rPr>
        <w:footnoteReference w:id="2"/>
      </w:r>
      <w:r>
        <w:rPr>
          <w:sz w:val="24"/>
          <w:szCs w:val="24"/>
        </w:rPr>
        <w:t>. De esta forma,</w:t>
      </w:r>
      <w:r>
        <w:rPr>
          <w:b/>
          <w:sz w:val="24"/>
          <w:szCs w:val="24"/>
        </w:rPr>
        <w:t xml:space="preserve"> </w:t>
      </w:r>
      <w:r w:rsidRPr="0028067D">
        <w:rPr>
          <w:b/>
          <w:color w:val="000000" w:themeColor="text1"/>
          <w:sz w:val="24"/>
          <w:szCs w:val="24"/>
          <w:highlight w:val="green"/>
        </w:rPr>
        <w:t>la existencia de las clases sociales en Chile ha traído como consecuencia una gran brecha lingüística ocasionada por el lenguaje que maneja cada una,</w:t>
      </w:r>
      <w:r w:rsidRPr="0028067D">
        <w:rPr>
          <w:color w:val="000000" w:themeColor="text1"/>
          <w:sz w:val="24"/>
          <w:szCs w:val="24"/>
          <w:highlight w:val="green"/>
        </w:rPr>
        <w:t xml:space="preserve"> </w:t>
      </w:r>
      <w:r w:rsidRPr="0028067D">
        <w:rPr>
          <w:b/>
          <w:color w:val="000000" w:themeColor="text1"/>
          <w:sz w:val="24"/>
          <w:szCs w:val="24"/>
          <w:highlight w:val="green"/>
        </w:rPr>
        <w:t>diferenciándose por su capital económico, social y cultural.</w:t>
      </w:r>
      <w:r w:rsidRPr="0028067D">
        <w:rPr>
          <w:color w:val="000000" w:themeColor="text1"/>
          <w:sz w:val="24"/>
          <w:szCs w:val="24"/>
        </w:rPr>
        <w:t xml:space="preserve"> </w:t>
      </w:r>
      <w:commentRangeStart w:id="0"/>
      <w:r w:rsidRPr="00883A39">
        <w:rPr>
          <w:sz w:val="24"/>
          <w:szCs w:val="24"/>
        </w:rPr>
        <w:t>Donde</w:t>
      </w:r>
      <w:commentRangeEnd w:id="0"/>
      <w:r w:rsidR="0028067D" w:rsidRPr="00883A39">
        <w:rPr>
          <w:rStyle w:val="Refdecomentario"/>
        </w:rPr>
        <w:commentReference w:id="0"/>
      </w:r>
      <w:r w:rsidRPr="00883A39">
        <w:rPr>
          <w:sz w:val="24"/>
          <w:szCs w:val="24"/>
        </w:rPr>
        <w:t xml:space="preserve"> el primero, según Pierre Bourdieu, </w:t>
      </w:r>
      <w:r w:rsidR="0028067D" w:rsidRPr="00883A39">
        <w:rPr>
          <w:sz w:val="24"/>
          <w:szCs w:val="24"/>
        </w:rPr>
        <w:t xml:space="preserve">hace referencia </w:t>
      </w:r>
      <w:r w:rsidRPr="00883A39">
        <w:rPr>
          <w:sz w:val="24"/>
          <w:szCs w:val="24"/>
        </w:rPr>
        <w:t>a cierto grado de control sobre los recursos económicos, el segundo a las obligaciones y relaciones sociales, y el tercero, a ciertos conocimientos y habilidades adquiridas en el seno familiar que permiten acceder a un estatus social más alto, que son reforzados por la escuela y por la vida cotidiana</w:t>
      </w:r>
      <w:r w:rsidRPr="00883A39">
        <w:rPr>
          <w:sz w:val="24"/>
          <w:szCs w:val="24"/>
          <w:vertAlign w:val="superscript"/>
        </w:rPr>
        <w:footnoteReference w:id="3"/>
      </w:r>
      <w:r w:rsidRPr="00883A39">
        <w:rPr>
          <w:sz w:val="24"/>
          <w:szCs w:val="24"/>
        </w:rPr>
        <w:t>, en el cual se evidencia una estigmatización hecha por la misma gente al escuchar las formas de hablar de cada clase, clasificándolas en “cuico” o “flaite”.</w:t>
      </w:r>
      <w:r>
        <w:rPr>
          <w:sz w:val="24"/>
          <w:szCs w:val="24"/>
        </w:rPr>
        <w:t xml:space="preserve"> </w:t>
      </w:r>
    </w:p>
    <w:p w14:paraId="59E9FC13" w14:textId="2FDE0A00" w:rsidR="00BC7CF2" w:rsidRDefault="00F919FF">
      <w:pPr>
        <w:spacing w:before="240" w:after="240" w:line="360" w:lineRule="auto"/>
        <w:jc w:val="both"/>
        <w:rPr>
          <w:sz w:val="24"/>
          <w:szCs w:val="24"/>
        </w:rPr>
      </w:pPr>
      <w:r w:rsidRPr="00883A39">
        <w:rPr>
          <w:sz w:val="24"/>
          <w:szCs w:val="24"/>
          <w:highlight w:val="yellow"/>
        </w:rPr>
        <w:t>A partir de lo anterior, el presente ensayo tiene como objetivo principal convencer de que</w:t>
      </w:r>
      <w:r w:rsidRPr="00883A39">
        <w:rPr>
          <w:sz w:val="24"/>
          <w:szCs w:val="24"/>
        </w:rPr>
        <w:t xml:space="preserve"> </w:t>
      </w:r>
      <w:r w:rsidRPr="00883A39">
        <w:rPr>
          <w:sz w:val="24"/>
          <w:szCs w:val="24"/>
          <w:shd w:val="clear" w:color="auto" w:fill="FFFF00"/>
        </w:rPr>
        <w:t>la</w:t>
      </w:r>
      <w:r w:rsidRPr="0028067D">
        <w:rPr>
          <w:sz w:val="24"/>
          <w:szCs w:val="24"/>
          <w:shd w:val="clear" w:color="auto" w:fill="FFFF00"/>
        </w:rPr>
        <w:t xml:space="preserve"> calidad de educación, las diferencias fonéticas en el habla y en la estigmatización de ellas mediante modismos chilenos son factores importantes de la brecha sociolingüística en las clases </w:t>
      </w:r>
      <w:commentRangeStart w:id="1"/>
      <w:r w:rsidRPr="0028067D">
        <w:rPr>
          <w:sz w:val="24"/>
          <w:szCs w:val="24"/>
          <w:shd w:val="clear" w:color="auto" w:fill="FFFF00"/>
        </w:rPr>
        <w:t>sociales</w:t>
      </w:r>
      <w:commentRangeEnd w:id="1"/>
      <w:r w:rsidR="0028067D">
        <w:rPr>
          <w:rStyle w:val="Refdecomentario"/>
        </w:rPr>
        <w:commentReference w:id="1"/>
      </w:r>
      <w:r w:rsidRPr="0028067D">
        <w:rPr>
          <w:sz w:val="24"/>
          <w:szCs w:val="24"/>
          <w:shd w:val="clear" w:color="auto" w:fill="FFFF00"/>
        </w:rPr>
        <w:t>.</w:t>
      </w:r>
    </w:p>
    <w:p w14:paraId="007840B2" w14:textId="77777777" w:rsidR="00BC7CF2" w:rsidRDefault="00F919FF">
      <w:pPr>
        <w:spacing w:before="240" w:line="360" w:lineRule="auto"/>
        <w:jc w:val="both"/>
        <w:rPr>
          <w:sz w:val="24"/>
          <w:szCs w:val="24"/>
        </w:rPr>
      </w:pPr>
      <w:r w:rsidRPr="0028067D">
        <w:rPr>
          <w:sz w:val="24"/>
          <w:szCs w:val="24"/>
          <w:shd w:val="clear" w:color="auto" w:fill="FABF8F" w:themeFill="accent6" w:themeFillTint="99"/>
        </w:rPr>
        <w:t>En primer lugar, la cultura lingüística de cada clase social está determinada por la forma en la que usan el lenguaje al momento de comunicarse con las demás personas. El nivel de habla de un conjunto de personas está determinado por una variable diastrática, la que al combinarse con una variable diafásica da cabida a la comprensión de por qué se dan estas diferencias en el uso del idioma en las clases sociales en Chile. De este modo, las clases altas suelen usar un nivel de habla mucho más culto que las clases bajas, ya que sin importar en la situación que se encuentren, ya sea formal o informal, ellos siempre hablarán de forma correcta; en cambio, las clases bajas, suelen usar el idioma de la misma manera independiente de su entorno, en el que se evidencia un nivel de habla mucho más vulgar.</w:t>
      </w:r>
      <w:r>
        <w:rPr>
          <w:sz w:val="24"/>
          <w:szCs w:val="24"/>
        </w:rPr>
        <w:t xml:space="preserve"> </w:t>
      </w:r>
      <w:commentRangeStart w:id="2"/>
      <w:r w:rsidRPr="0028067D">
        <w:rPr>
          <w:sz w:val="24"/>
          <w:szCs w:val="24"/>
          <w:shd w:val="clear" w:color="auto" w:fill="CCC0D9" w:themeFill="accent4" w:themeFillTint="66"/>
        </w:rPr>
        <w:t>De</w:t>
      </w:r>
      <w:commentRangeEnd w:id="2"/>
      <w:r w:rsidR="0028067D">
        <w:rPr>
          <w:rStyle w:val="Refdecomentario"/>
        </w:rPr>
        <w:commentReference w:id="2"/>
      </w:r>
      <w:r w:rsidRPr="0028067D">
        <w:rPr>
          <w:sz w:val="24"/>
          <w:szCs w:val="24"/>
          <w:shd w:val="clear" w:color="auto" w:fill="CCC0D9" w:themeFill="accent4" w:themeFillTint="66"/>
        </w:rPr>
        <w:t xml:space="preserve"> hecho, en un estudio de Gabriela </w:t>
      </w:r>
      <w:proofErr w:type="spellStart"/>
      <w:r w:rsidRPr="0028067D">
        <w:rPr>
          <w:sz w:val="24"/>
          <w:szCs w:val="24"/>
          <w:shd w:val="clear" w:color="auto" w:fill="CCC0D9" w:themeFill="accent4" w:themeFillTint="66"/>
        </w:rPr>
        <w:t>Coronata</w:t>
      </w:r>
      <w:proofErr w:type="spellEnd"/>
      <w:r w:rsidRPr="0028067D">
        <w:rPr>
          <w:sz w:val="24"/>
          <w:szCs w:val="24"/>
          <w:shd w:val="clear" w:color="auto" w:fill="CCC0D9" w:themeFill="accent4" w:themeFillTint="66"/>
        </w:rPr>
        <w:t xml:space="preserve"> Tapia, los encuestados indicaron que el nivel </w:t>
      </w:r>
      <w:r w:rsidRPr="0028067D">
        <w:rPr>
          <w:sz w:val="24"/>
          <w:szCs w:val="24"/>
          <w:shd w:val="clear" w:color="auto" w:fill="CCC0D9" w:themeFill="accent4" w:themeFillTint="66"/>
        </w:rPr>
        <w:lastRenderedPageBreak/>
        <w:t xml:space="preserve">de lenguaje de las clases sociales altas es el más adecuado para contextos formales y relaciones asimétricas entre hablantes. Al mismo tiempo, declararon que su uso en contextos informales e íntimos no era muy factible debido a la falta de expresión y </w:t>
      </w:r>
      <w:commentRangeStart w:id="3"/>
      <w:r w:rsidRPr="0028067D">
        <w:rPr>
          <w:sz w:val="24"/>
          <w:szCs w:val="24"/>
          <w:shd w:val="clear" w:color="auto" w:fill="CCC0D9" w:themeFill="accent4" w:themeFillTint="66"/>
        </w:rPr>
        <w:t>emociones</w:t>
      </w:r>
      <w:commentRangeEnd w:id="3"/>
      <w:r w:rsidR="0028067D">
        <w:rPr>
          <w:rStyle w:val="Refdecomentario"/>
        </w:rPr>
        <w:commentReference w:id="3"/>
      </w:r>
      <w:r w:rsidRPr="0028067D">
        <w:rPr>
          <w:sz w:val="24"/>
          <w:szCs w:val="24"/>
          <w:shd w:val="clear" w:color="auto" w:fill="CCC0D9" w:themeFill="accent4" w:themeFillTint="66"/>
        </w:rPr>
        <w:t>.</w:t>
      </w:r>
    </w:p>
    <w:p w14:paraId="20568D56" w14:textId="77777777" w:rsidR="00BC7CF2" w:rsidRDefault="00F919FF">
      <w:pPr>
        <w:spacing w:before="240" w:line="360" w:lineRule="auto"/>
        <w:jc w:val="both"/>
        <w:rPr>
          <w:sz w:val="24"/>
          <w:szCs w:val="24"/>
        </w:rPr>
      </w:pPr>
      <w:r w:rsidRPr="00D9183D">
        <w:rPr>
          <w:sz w:val="24"/>
          <w:szCs w:val="24"/>
          <w:highlight w:val="magenta"/>
        </w:rPr>
        <w:t>De acuerdo con el párrafo anterior, uno de los factores de la brecha sociolingüística es la calidad de educación entregada. En base a estudios de los resultados del SIMCE del año 2003 las diferencias en la prueba de lectura son muy grandes entre las escuelas públicas y las particulares, ya que entre el mejor colegio del sector alto (Escuela Madrigal) y el mejor del sector vulnerable (Escuela Pablo Neruda) hay 60 puntos de diferencia, y al comparar a los que se ubican en el último lugar de los 10 mejores, hay 67 puntos de diferencia entre el sector bajo y alto. Además, la prueba hecha en el 2018 da a conocer que se mantiene la brecha entre ambos tipos de colegios. La educación es importante, ya que “</w:t>
      </w:r>
      <w:r w:rsidRPr="00D9183D">
        <w:rPr>
          <w:i/>
          <w:sz w:val="24"/>
          <w:szCs w:val="24"/>
          <w:highlight w:val="magenta"/>
        </w:rPr>
        <w:t>se aprende también a “hablar bien el idioma”, a “redactar” bien, lo que de hecho significa (para los futuros capitalistas y sus servidores) saber “dar órdenes”, es decir (solución ideal), “saber dirigirse” a los obreros, etcétera</w:t>
      </w:r>
      <w:commentRangeStart w:id="4"/>
      <w:r>
        <w:rPr>
          <w:i/>
          <w:sz w:val="24"/>
          <w:szCs w:val="24"/>
        </w:rPr>
        <w:t>.”</w:t>
      </w:r>
      <w:r>
        <w:rPr>
          <w:sz w:val="24"/>
          <w:szCs w:val="24"/>
          <w:vertAlign w:val="superscript"/>
        </w:rPr>
        <w:footnoteReference w:id="4"/>
      </w:r>
      <w:commentRangeEnd w:id="4"/>
      <w:r w:rsidR="00D9183D">
        <w:rPr>
          <w:rStyle w:val="Refdecomentario"/>
        </w:rPr>
        <w:commentReference w:id="4"/>
      </w:r>
      <w:r w:rsidR="00D9183D">
        <w:rPr>
          <w:i/>
          <w:sz w:val="24"/>
          <w:szCs w:val="24"/>
        </w:rPr>
        <w:t xml:space="preserve"> </w:t>
      </w:r>
    </w:p>
    <w:p w14:paraId="3378D737" w14:textId="77777777" w:rsidR="00BC7CF2" w:rsidRDefault="00F919FF">
      <w:pPr>
        <w:spacing w:before="240" w:line="360" w:lineRule="auto"/>
        <w:jc w:val="both"/>
        <w:rPr>
          <w:sz w:val="24"/>
          <w:szCs w:val="24"/>
          <w:highlight w:val="white"/>
        </w:rPr>
      </w:pPr>
      <w:r>
        <w:rPr>
          <w:sz w:val="24"/>
          <w:szCs w:val="24"/>
        </w:rPr>
        <w:t>Por otro lado, las diferencias en la forma de hablar de cada clase social se basan principalmente en su pronunciación y su tono de voz usado en una situación comunicativa, puesto que “</w:t>
      </w:r>
      <w:r>
        <w:rPr>
          <w:i/>
          <w:sz w:val="24"/>
          <w:szCs w:val="24"/>
        </w:rPr>
        <w:t>la pertenencia a un grupo social u otro influye tanto sobre la manera de hablar como sobre las actitudes hacia estas diferentes maneras de hablar</w:t>
      </w:r>
      <w:r>
        <w:rPr>
          <w:sz w:val="24"/>
          <w:szCs w:val="24"/>
        </w:rPr>
        <w:t>”</w:t>
      </w:r>
      <w:r>
        <w:rPr>
          <w:sz w:val="24"/>
          <w:szCs w:val="24"/>
          <w:vertAlign w:val="superscript"/>
        </w:rPr>
        <w:footnoteReference w:id="5"/>
      </w:r>
      <w:r>
        <w:rPr>
          <w:sz w:val="24"/>
          <w:szCs w:val="24"/>
        </w:rPr>
        <w:t>. Un estudio de la ESECH del análisis de la variación lingüística en el habla capitalina arrojó que</w:t>
      </w:r>
      <w:r>
        <w:rPr>
          <w:sz w:val="24"/>
          <w:szCs w:val="24"/>
          <w:highlight w:val="white"/>
        </w:rPr>
        <w:t xml:space="preserve"> la conexión entre el uso de marcadores de control de contacto de cuestionamiento y el grupo socioeconómico de las personas de prueba es una posibilidad que debería confirmarse mediante la extensión de la muestra examinada. Como resultado, el marcador de repertorio más común, "</w:t>
      </w:r>
      <w:proofErr w:type="spellStart"/>
      <w:r>
        <w:rPr>
          <w:i/>
          <w:sz w:val="24"/>
          <w:szCs w:val="24"/>
          <w:highlight w:val="white"/>
        </w:rPr>
        <w:t>cachai</w:t>
      </w:r>
      <w:proofErr w:type="spellEnd"/>
      <w:r>
        <w:rPr>
          <w:sz w:val="24"/>
          <w:szCs w:val="24"/>
          <w:highlight w:val="white"/>
        </w:rPr>
        <w:t xml:space="preserve">", se distribuye de manera bastante homogénea, aunque también reproduce un patrón en forma de "s". La distribución de otros marcadores se centró en los grupos medio y medio a alto (por ejemplo, ¿me </w:t>
      </w:r>
      <w:proofErr w:type="spellStart"/>
      <w:r>
        <w:rPr>
          <w:sz w:val="24"/>
          <w:szCs w:val="24"/>
          <w:highlight w:val="white"/>
        </w:rPr>
        <w:t>entendíh</w:t>
      </w:r>
      <w:proofErr w:type="spellEnd"/>
      <w:r>
        <w:rPr>
          <w:sz w:val="24"/>
          <w:szCs w:val="24"/>
          <w:highlight w:val="white"/>
        </w:rPr>
        <w:t xml:space="preserve">?, ¿ya?, ¿te </w:t>
      </w:r>
      <w:proofErr w:type="spellStart"/>
      <w:r>
        <w:rPr>
          <w:sz w:val="24"/>
          <w:szCs w:val="24"/>
          <w:highlight w:val="white"/>
        </w:rPr>
        <w:t>fijah</w:t>
      </w:r>
      <w:proofErr w:type="spellEnd"/>
      <w:r>
        <w:rPr>
          <w:sz w:val="24"/>
          <w:szCs w:val="24"/>
          <w:highlight w:val="white"/>
        </w:rPr>
        <w:t xml:space="preserve">? y ¿te </w:t>
      </w:r>
      <w:proofErr w:type="spellStart"/>
      <w:r>
        <w:rPr>
          <w:sz w:val="24"/>
          <w:szCs w:val="24"/>
          <w:highlight w:val="white"/>
        </w:rPr>
        <w:t>fijái</w:t>
      </w:r>
      <w:proofErr w:type="spellEnd"/>
      <w:r>
        <w:rPr>
          <w:sz w:val="24"/>
          <w:szCs w:val="24"/>
          <w:highlight w:val="white"/>
        </w:rPr>
        <w:t xml:space="preserve">?) También encontramos que los grupos medio y medio alto tenían una mayor variedad de marcadores que los otros grupos de muestra. En otro estudio hecho por Gabriela </w:t>
      </w:r>
      <w:proofErr w:type="spellStart"/>
      <w:r>
        <w:rPr>
          <w:sz w:val="24"/>
          <w:szCs w:val="24"/>
          <w:highlight w:val="white"/>
        </w:rPr>
        <w:t>Coronata</w:t>
      </w:r>
      <w:proofErr w:type="spellEnd"/>
      <w:r>
        <w:rPr>
          <w:sz w:val="24"/>
          <w:szCs w:val="24"/>
          <w:highlight w:val="white"/>
        </w:rPr>
        <w:t xml:space="preserve"> Tapia se entrevistaron a un grupo de personas que caracterizaron a la clase alta mediante rasgos exclusivamente prosódicos y fonéticos, tales como: Hablar “con la papa en la boca” la que hace alusión a un descenso general de la frecuencia fundamental de la voz al hablar generando un tono de voz ronco, y el hablar rápido. También se le atribuyó a esta variedad el uso del alófono /ʧ (</w:t>
      </w:r>
      <w:r>
        <w:rPr>
          <w:i/>
          <w:sz w:val="24"/>
          <w:szCs w:val="24"/>
          <w:highlight w:val="white"/>
        </w:rPr>
        <w:t>“Ch”</w:t>
      </w:r>
      <w:r>
        <w:rPr>
          <w:sz w:val="24"/>
          <w:szCs w:val="24"/>
          <w:highlight w:val="white"/>
        </w:rPr>
        <w:t>), en cambio, los de clase baja usan el alófono [</w:t>
      </w:r>
      <w:proofErr w:type="spellStart"/>
      <w:r>
        <w:rPr>
          <w:sz w:val="24"/>
          <w:szCs w:val="24"/>
          <w:highlight w:val="white"/>
        </w:rPr>
        <w:t>tʃ</w:t>
      </w:r>
      <w:proofErr w:type="spellEnd"/>
      <w:r>
        <w:rPr>
          <w:sz w:val="24"/>
          <w:szCs w:val="24"/>
          <w:highlight w:val="white"/>
        </w:rPr>
        <w:t xml:space="preserve">]. Para evidenciar </w:t>
      </w:r>
      <w:r>
        <w:rPr>
          <w:sz w:val="24"/>
          <w:szCs w:val="24"/>
          <w:highlight w:val="white"/>
        </w:rPr>
        <w:lastRenderedPageBreak/>
        <w:t>esta diferencia, en el alfabeto se lee "chala" - [</w:t>
      </w:r>
      <w:proofErr w:type="spellStart"/>
      <w:r>
        <w:rPr>
          <w:sz w:val="24"/>
          <w:szCs w:val="24"/>
          <w:highlight w:val="white"/>
        </w:rPr>
        <w:t>ʧala</w:t>
      </w:r>
      <w:proofErr w:type="spellEnd"/>
      <w:r>
        <w:rPr>
          <w:sz w:val="24"/>
          <w:szCs w:val="24"/>
          <w:highlight w:val="white"/>
        </w:rPr>
        <w:t>] versus "</w:t>
      </w:r>
      <w:proofErr w:type="spellStart"/>
      <w:r>
        <w:rPr>
          <w:sz w:val="24"/>
          <w:szCs w:val="24"/>
          <w:highlight w:val="white"/>
        </w:rPr>
        <w:t>shala</w:t>
      </w:r>
      <w:proofErr w:type="spellEnd"/>
      <w:r>
        <w:rPr>
          <w:sz w:val="24"/>
          <w:szCs w:val="24"/>
          <w:highlight w:val="white"/>
        </w:rPr>
        <w:t>" - [</w:t>
      </w:r>
      <w:proofErr w:type="spellStart"/>
      <w:r>
        <w:rPr>
          <w:sz w:val="24"/>
          <w:szCs w:val="24"/>
          <w:highlight w:val="white"/>
        </w:rPr>
        <w:t>ʃala</w:t>
      </w:r>
      <w:proofErr w:type="spellEnd"/>
      <w:r>
        <w:rPr>
          <w:sz w:val="24"/>
          <w:szCs w:val="24"/>
          <w:highlight w:val="white"/>
        </w:rPr>
        <w:t>]. Hiram Vivanco (1999) señala esta realización como altamente estigmatizada.</w:t>
      </w:r>
    </w:p>
    <w:p w14:paraId="3DE51616" w14:textId="77777777" w:rsidR="00BC7CF2" w:rsidRDefault="00F919FF">
      <w:pPr>
        <w:spacing w:before="240" w:line="360" w:lineRule="auto"/>
        <w:jc w:val="both"/>
        <w:rPr>
          <w:sz w:val="24"/>
          <w:szCs w:val="24"/>
        </w:rPr>
      </w:pPr>
      <w:r>
        <w:rPr>
          <w:sz w:val="24"/>
          <w:szCs w:val="24"/>
        </w:rPr>
        <w:t>Por último, en nuestro país tenemos palabras que son conocidas como modismos, por ejemplo, la palabra “</w:t>
      </w:r>
      <w:r>
        <w:rPr>
          <w:i/>
          <w:sz w:val="24"/>
          <w:szCs w:val="24"/>
        </w:rPr>
        <w:t xml:space="preserve">cuico” </w:t>
      </w:r>
      <w:r>
        <w:rPr>
          <w:sz w:val="24"/>
          <w:szCs w:val="24"/>
        </w:rPr>
        <w:t>se les atribuye a los individuos pertenecientes a las clases altas, y la palabra “flaite” se les atribuye a la clase  baja, estos conceptos fueron creados para estereotipar y diferenciar de una forma coloquial a las clases sociales, es decir, “</w:t>
      </w:r>
      <w:r>
        <w:rPr>
          <w:i/>
          <w:sz w:val="24"/>
          <w:szCs w:val="24"/>
        </w:rPr>
        <w:t>Las clasificaciones de los sujetos en clases de elementos que comparten una serie de características, permiten comprender y ordenar el mundo social […] las características que posee su grupo social, tal como éstas están definidas por las categorizaciones sociales implícitas”</w:t>
      </w:r>
      <w:r>
        <w:rPr>
          <w:sz w:val="24"/>
          <w:szCs w:val="24"/>
          <w:vertAlign w:val="superscript"/>
        </w:rPr>
        <w:footnoteReference w:id="6"/>
      </w:r>
      <w:r>
        <w:rPr>
          <w:sz w:val="24"/>
          <w:szCs w:val="24"/>
        </w:rPr>
        <w:t>. Esta categorización crea una importante estigmatización hacia cada sector social enfocados en cómo hablan. Gastón Salamanca y Ana Valverde (2009) realizaron un estudio titulado “</w:t>
      </w:r>
      <w:r>
        <w:rPr>
          <w:i/>
          <w:sz w:val="24"/>
          <w:szCs w:val="24"/>
        </w:rPr>
        <w:t xml:space="preserve">Prestigio y estigmatización en variantes </w:t>
      </w:r>
      <w:proofErr w:type="spellStart"/>
      <w:r>
        <w:rPr>
          <w:i/>
          <w:sz w:val="24"/>
          <w:szCs w:val="24"/>
        </w:rPr>
        <w:t>anteriorizadas</w:t>
      </w:r>
      <w:proofErr w:type="spellEnd"/>
      <w:r>
        <w:rPr>
          <w:i/>
          <w:sz w:val="24"/>
          <w:szCs w:val="24"/>
        </w:rPr>
        <w:t xml:space="preserve"> y </w:t>
      </w:r>
      <w:proofErr w:type="spellStart"/>
      <w:r>
        <w:rPr>
          <w:i/>
          <w:sz w:val="24"/>
          <w:szCs w:val="24"/>
        </w:rPr>
        <w:t>posteriorizadas</w:t>
      </w:r>
      <w:proofErr w:type="spellEnd"/>
      <w:r>
        <w:rPr>
          <w:i/>
          <w:sz w:val="24"/>
          <w:szCs w:val="24"/>
        </w:rPr>
        <w:t xml:space="preserve"> de las vocales del español de Chile</w:t>
      </w:r>
      <w:r>
        <w:rPr>
          <w:sz w:val="24"/>
          <w:szCs w:val="24"/>
        </w:rPr>
        <w:t>”,</w:t>
      </w:r>
      <w:r w:rsidRPr="002674E5">
        <w:rPr>
          <w:sz w:val="24"/>
          <w:szCs w:val="24"/>
        </w:rPr>
        <w:t xml:space="preserve"> las</w:t>
      </w:r>
      <w:r>
        <w:rPr>
          <w:sz w:val="24"/>
          <w:szCs w:val="24"/>
        </w:rPr>
        <w:t xml:space="preserve"> conclusiones de este estudio señalan que “</w:t>
      </w:r>
      <w:r>
        <w:rPr>
          <w:i/>
          <w:sz w:val="24"/>
          <w:szCs w:val="24"/>
        </w:rPr>
        <w:t xml:space="preserve">las vocales </w:t>
      </w:r>
      <w:proofErr w:type="spellStart"/>
      <w:r>
        <w:rPr>
          <w:i/>
          <w:sz w:val="24"/>
          <w:szCs w:val="24"/>
        </w:rPr>
        <w:t>anteriorizadas</w:t>
      </w:r>
      <w:proofErr w:type="spellEnd"/>
      <w:r>
        <w:rPr>
          <w:i/>
          <w:sz w:val="24"/>
          <w:szCs w:val="24"/>
        </w:rPr>
        <w:t xml:space="preserve"> están asociadas al estrato social “flaite”, mientras que las </w:t>
      </w:r>
      <w:proofErr w:type="spellStart"/>
      <w:r>
        <w:rPr>
          <w:i/>
          <w:sz w:val="24"/>
          <w:szCs w:val="24"/>
        </w:rPr>
        <w:t>posteriorizadas</w:t>
      </w:r>
      <w:proofErr w:type="spellEnd"/>
      <w:r>
        <w:rPr>
          <w:i/>
          <w:sz w:val="24"/>
          <w:szCs w:val="24"/>
        </w:rPr>
        <w:t xml:space="preserve"> están asociadas al estrato social “cuico””</w:t>
      </w:r>
      <w:r>
        <w:rPr>
          <w:i/>
          <w:sz w:val="24"/>
          <w:szCs w:val="24"/>
          <w:vertAlign w:val="superscript"/>
        </w:rPr>
        <w:footnoteReference w:id="7"/>
      </w:r>
      <w:r>
        <w:rPr>
          <w:i/>
          <w:sz w:val="24"/>
          <w:szCs w:val="24"/>
        </w:rPr>
        <w:t>.</w:t>
      </w:r>
      <w:r>
        <w:rPr>
          <w:sz w:val="24"/>
          <w:szCs w:val="24"/>
        </w:rPr>
        <w:t xml:space="preserve"> Si al entrevistar a cierto número de personas y analizamos sus respuestas, podemos confirmar que la representación social del grupo "cuico" administrado por los encuestados gira en torno a un alto nivel de capital económico y social, que gira en torno a su alta presencia en las esferas públicas, tales como la política, la ciencia, los medios de comunicación, y la vida pública en general.</w:t>
      </w:r>
    </w:p>
    <w:p w14:paraId="188D158F" w14:textId="3E438DF6" w:rsidR="00BC7CF2" w:rsidRDefault="00F919FF">
      <w:pPr>
        <w:spacing w:before="240" w:line="360" w:lineRule="auto"/>
        <w:jc w:val="both"/>
        <w:rPr>
          <w:sz w:val="24"/>
          <w:szCs w:val="24"/>
        </w:rPr>
      </w:pPr>
      <w:r w:rsidRPr="002674E5">
        <w:rPr>
          <w:sz w:val="24"/>
          <w:szCs w:val="24"/>
          <w:highlight w:val="cyan"/>
        </w:rPr>
        <w:t>Entonces, de acuerd</w:t>
      </w:r>
      <w:r w:rsidR="002674E5" w:rsidRPr="002674E5">
        <w:rPr>
          <w:sz w:val="24"/>
          <w:szCs w:val="24"/>
          <w:highlight w:val="cyan"/>
        </w:rPr>
        <w:t>o con los siguientes factores: e</w:t>
      </w:r>
      <w:r w:rsidRPr="002674E5">
        <w:rPr>
          <w:sz w:val="24"/>
          <w:szCs w:val="24"/>
          <w:highlight w:val="cyan"/>
        </w:rPr>
        <w:t xml:space="preserve">l acceso a la educación mediante los </w:t>
      </w:r>
      <w:commentRangeStart w:id="5"/>
      <w:r w:rsidRPr="002674E5">
        <w:rPr>
          <w:sz w:val="24"/>
          <w:szCs w:val="24"/>
          <w:highlight w:val="cyan"/>
        </w:rPr>
        <w:t>recursos</w:t>
      </w:r>
      <w:commentRangeEnd w:id="5"/>
      <w:r w:rsidR="002674E5">
        <w:rPr>
          <w:rStyle w:val="Refdecomentario"/>
        </w:rPr>
        <w:commentReference w:id="5"/>
      </w:r>
      <w:r w:rsidRPr="002674E5">
        <w:rPr>
          <w:sz w:val="24"/>
          <w:szCs w:val="24"/>
          <w:highlight w:val="cyan"/>
        </w:rPr>
        <w:t xml:space="preserve"> de cada una; poniendo en comparación la calidad de aprendizaje entregada por las escuelas públicas y particulares; las diferencias fonéticas en el habla y en la estigmatización de ellas mediante modismos chilenos, el lenguaje utilizado por cada sector social depende de su educación y de su entorno social, ya que de esa mezcla nace el nivel de habla lingüístico en una persona. Además, el correcto uso del lenguaje es muy importante en la comunicación, ya que uno estigmatiza a una persona posicionándola en una clase social inmediatamente al escuchar como habla, caracterizándolo de “flaite” o “cuico”, y de este modo, incrementando la separación de las clases sociales en Chile. Para próximos estudios, se podría elegir de mejor manera las muestras de estudio para lograr una mayor exactitud.</w:t>
      </w:r>
    </w:p>
    <w:p w14:paraId="7780DCB9" w14:textId="77777777" w:rsidR="00BC7CF2" w:rsidRDefault="00BC7CF2">
      <w:pPr>
        <w:spacing w:line="360" w:lineRule="auto"/>
        <w:jc w:val="center"/>
        <w:rPr>
          <w:sz w:val="24"/>
          <w:szCs w:val="24"/>
          <w:u w:val="single"/>
        </w:rPr>
      </w:pPr>
    </w:p>
    <w:p w14:paraId="25A093E1" w14:textId="40A9FCB8" w:rsidR="00BC7CF2" w:rsidRDefault="00BC7CF2">
      <w:pPr>
        <w:spacing w:line="360" w:lineRule="auto"/>
        <w:jc w:val="center"/>
        <w:rPr>
          <w:sz w:val="24"/>
          <w:szCs w:val="24"/>
          <w:u w:val="single"/>
        </w:rPr>
      </w:pPr>
    </w:p>
    <w:p w14:paraId="5450FD54" w14:textId="42135B3A" w:rsidR="002674E5" w:rsidRDefault="002674E5">
      <w:pPr>
        <w:spacing w:line="360" w:lineRule="auto"/>
        <w:jc w:val="center"/>
        <w:rPr>
          <w:sz w:val="24"/>
          <w:szCs w:val="24"/>
          <w:u w:val="single"/>
        </w:rPr>
      </w:pPr>
    </w:p>
    <w:p w14:paraId="7B9FA67E" w14:textId="77777777" w:rsidR="002674E5" w:rsidRDefault="002674E5">
      <w:pPr>
        <w:spacing w:line="360" w:lineRule="auto"/>
        <w:jc w:val="center"/>
        <w:rPr>
          <w:sz w:val="24"/>
          <w:szCs w:val="24"/>
          <w:u w:val="single"/>
        </w:rPr>
      </w:pPr>
    </w:p>
    <w:p w14:paraId="1C55DD28" w14:textId="77777777" w:rsidR="00BC7CF2" w:rsidRDefault="00BC7CF2">
      <w:pPr>
        <w:spacing w:line="360" w:lineRule="auto"/>
        <w:jc w:val="center"/>
        <w:rPr>
          <w:sz w:val="24"/>
          <w:szCs w:val="24"/>
          <w:u w:val="single"/>
        </w:rPr>
      </w:pPr>
    </w:p>
    <w:p w14:paraId="251206C6" w14:textId="77777777" w:rsidR="00BC7CF2" w:rsidRDefault="00F919FF">
      <w:pPr>
        <w:spacing w:line="360" w:lineRule="auto"/>
        <w:jc w:val="center"/>
        <w:rPr>
          <w:sz w:val="24"/>
          <w:szCs w:val="24"/>
          <w:u w:val="single"/>
        </w:rPr>
      </w:pPr>
      <w:r>
        <w:rPr>
          <w:sz w:val="24"/>
          <w:szCs w:val="24"/>
          <w:u w:val="single"/>
        </w:rPr>
        <w:t>Bibliografía</w:t>
      </w:r>
    </w:p>
    <w:p w14:paraId="3F9A9918" w14:textId="77777777" w:rsidR="00BC7CF2" w:rsidRDefault="00BC7CF2">
      <w:pPr>
        <w:spacing w:line="360" w:lineRule="auto"/>
        <w:jc w:val="both"/>
        <w:rPr>
          <w:sz w:val="24"/>
          <w:szCs w:val="24"/>
          <w:u w:val="single"/>
        </w:rPr>
      </w:pPr>
    </w:p>
    <w:p w14:paraId="28F00C48" w14:textId="77777777" w:rsidR="00BC7CF2" w:rsidRDefault="00F919FF">
      <w:pPr>
        <w:numPr>
          <w:ilvl w:val="0"/>
          <w:numId w:val="1"/>
        </w:numPr>
        <w:pBdr>
          <w:top w:val="nil"/>
          <w:left w:val="nil"/>
          <w:bottom w:val="nil"/>
          <w:right w:val="nil"/>
          <w:between w:val="nil"/>
        </w:pBdr>
        <w:shd w:val="clear" w:color="auto" w:fill="FFFFFF"/>
        <w:spacing w:line="360" w:lineRule="auto"/>
        <w:jc w:val="both"/>
        <w:rPr>
          <w:color w:val="212121"/>
          <w:sz w:val="24"/>
          <w:szCs w:val="24"/>
        </w:rPr>
      </w:pPr>
      <w:r>
        <w:rPr>
          <w:color w:val="212121"/>
          <w:sz w:val="24"/>
          <w:szCs w:val="24"/>
        </w:rPr>
        <w:t>P. Salazar, V. Mery y X. Bertín (2014, 21 octubre). Resultados Simce 2013: revisa el ranking con los mejores colegios de la Región Metropolitana - La Tercera. (</w:t>
      </w:r>
      <w:proofErr w:type="spellStart"/>
      <w:r>
        <w:rPr>
          <w:color w:val="212121"/>
          <w:sz w:val="24"/>
          <w:szCs w:val="24"/>
        </w:rPr>
        <w:t>n.d</w:t>
      </w:r>
      <w:proofErr w:type="spellEnd"/>
      <w:r>
        <w:rPr>
          <w:color w:val="212121"/>
          <w:sz w:val="24"/>
          <w:szCs w:val="24"/>
        </w:rPr>
        <w:t>.).</w:t>
      </w:r>
    </w:p>
    <w:p w14:paraId="1C13E27A" w14:textId="77777777" w:rsidR="00BC7CF2" w:rsidRDefault="004D3042">
      <w:pPr>
        <w:pBdr>
          <w:top w:val="nil"/>
          <w:left w:val="nil"/>
          <w:bottom w:val="nil"/>
          <w:right w:val="nil"/>
          <w:between w:val="nil"/>
        </w:pBdr>
        <w:shd w:val="clear" w:color="auto" w:fill="FFFFFF"/>
        <w:spacing w:line="360" w:lineRule="auto"/>
        <w:ind w:left="720"/>
        <w:jc w:val="both"/>
        <w:rPr>
          <w:color w:val="212121"/>
          <w:sz w:val="24"/>
          <w:szCs w:val="24"/>
        </w:rPr>
      </w:pPr>
      <w:hyperlink r:id="rId11">
        <w:r w:rsidR="00F919FF">
          <w:rPr>
            <w:color w:val="0000FF"/>
            <w:sz w:val="24"/>
            <w:szCs w:val="24"/>
            <w:u w:val="single"/>
          </w:rPr>
          <w:t>https://www.google.com/amp/s/www.latercera.com/noticia/resultados-simce-2013-revisa-el-ranking-con-los-mejores-colegios-de-la-region-metropolitana/%3foutputType=amp</w:t>
        </w:r>
      </w:hyperlink>
    </w:p>
    <w:p w14:paraId="41E41E43" w14:textId="77777777" w:rsidR="00BC7CF2" w:rsidRDefault="00BC7CF2">
      <w:pPr>
        <w:spacing w:line="360" w:lineRule="auto"/>
        <w:jc w:val="both"/>
        <w:rPr>
          <w:color w:val="000000"/>
          <w:sz w:val="24"/>
          <w:szCs w:val="24"/>
        </w:rPr>
      </w:pPr>
    </w:p>
    <w:p w14:paraId="6769D62A" w14:textId="77777777" w:rsidR="00BC7CF2" w:rsidRDefault="00F919FF">
      <w:pPr>
        <w:numPr>
          <w:ilvl w:val="0"/>
          <w:numId w:val="1"/>
        </w:numPr>
        <w:pBdr>
          <w:top w:val="nil"/>
          <w:left w:val="nil"/>
          <w:bottom w:val="nil"/>
          <w:right w:val="nil"/>
          <w:between w:val="nil"/>
        </w:pBdr>
        <w:shd w:val="clear" w:color="auto" w:fill="FFFFFF"/>
        <w:spacing w:line="360" w:lineRule="auto"/>
        <w:jc w:val="both"/>
        <w:rPr>
          <w:color w:val="212121"/>
          <w:sz w:val="24"/>
          <w:szCs w:val="24"/>
        </w:rPr>
      </w:pPr>
      <w:r>
        <w:rPr>
          <w:color w:val="212121"/>
          <w:sz w:val="24"/>
          <w:szCs w:val="24"/>
        </w:rPr>
        <w:t>La discusión: Simce 2018: brecha se mantiene entre municipales y particulares. (</w:t>
      </w:r>
      <w:proofErr w:type="spellStart"/>
      <w:r>
        <w:rPr>
          <w:color w:val="212121"/>
          <w:sz w:val="24"/>
          <w:szCs w:val="24"/>
        </w:rPr>
        <w:t>n.d</w:t>
      </w:r>
      <w:proofErr w:type="spellEnd"/>
      <w:r>
        <w:rPr>
          <w:color w:val="212121"/>
          <w:sz w:val="24"/>
          <w:szCs w:val="24"/>
        </w:rPr>
        <w:t>.)</w:t>
      </w:r>
    </w:p>
    <w:p w14:paraId="624A03B0" w14:textId="77777777" w:rsidR="00BC7CF2" w:rsidRDefault="004D3042">
      <w:pPr>
        <w:pBdr>
          <w:top w:val="nil"/>
          <w:left w:val="nil"/>
          <w:bottom w:val="nil"/>
          <w:right w:val="nil"/>
          <w:between w:val="nil"/>
        </w:pBdr>
        <w:shd w:val="clear" w:color="auto" w:fill="FFFFFF"/>
        <w:spacing w:line="360" w:lineRule="auto"/>
        <w:ind w:left="720"/>
        <w:jc w:val="both"/>
        <w:rPr>
          <w:color w:val="212121"/>
          <w:sz w:val="24"/>
          <w:szCs w:val="24"/>
        </w:rPr>
      </w:pPr>
      <w:hyperlink r:id="rId12">
        <w:r w:rsidR="00F919FF">
          <w:rPr>
            <w:color w:val="0000FF"/>
            <w:sz w:val="24"/>
            <w:szCs w:val="24"/>
            <w:u w:val="single"/>
          </w:rPr>
          <w:t>https://www.google.com/amp/www.ladiscusion.cl/simce-2018-brecha-se-mantiene-entre-municipales-y-particulares/</w:t>
        </w:r>
      </w:hyperlink>
    </w:p>
    <w:p w14:paraId="4C7C6F7F" w14:textId="77777777" w:rsidR="00BC7CF2" w:rsidRDefault="00BC7CF2">
      <w:pPr>
        <w:shd w:val="clear" w:color="auto" w:fill="FFFFFF"/>
        <w:spacing w:line="360" w:lineRule="auto"/>
        <w:jc w:val="both"/>
        <w:rPr>
          <w:color w:val="212121"/>
          <w:sz w:val="24"/>
          <w:szCs w:val="24"/>
        </w:rPr>
      </w:pPr>
    </w:p>
    <w:p w14:paraId="5CCE3EF1" w14:textId="77777777" w:rsidR="00BC7CF2" w:rsidRDefault="00F919FF">
      <w:pPr>
        <w:numPr>
          <w:ilvl w:val="0"/>
          <w:numId w:val="1"/>
        </w:numPr>
        <w:pBdr>
          <w:top w:val="nil"/>
          <w:left w:val="nil"/>
          <w:bottom w:val="nil"/>
          <w:right w:val="nil"/>
          <w:between w:val="nil"/>
        </w:pBdr>
        <w:shd w:val="clear" w:color="auto" w:fill="FFFFFF"/>
        <w:spacing w:line="360" w:lineRule="auto"/>
        <w:jc w:val="both"/>
        <w:rPr>
          <w:color w:val="212121"/>
          <w:sz w:val="24"/>
          <w:szCs w:val="24"/>
        </w:rPr>
      </w:pPr>
      <w:r>
        <w:rPr>
          <w:color w:val="000000"/>
          <w:sz w:val="24"/>
          <w:szCs w:val="24"/>
        </w:rPr>
        <w:t xml:space="preserve">Cervantes, C. V., &amp; </w:t>
      </w:r>
      <w:proofErr w:type="spellStart"/>
      <w:r>
        <w:rPr>
          <w:color w:val="000000"/>
          <w:sz w:val="24"/>
          <w:szCs w:val="24"/>
        </w:rPr>
        <w:t>Cvc</w:t>
      </w:r>
      <w:proofErr w:type="spellEnd"/>
      <w:r>
        <w:rPr>
          <w:color w:val="000000"/>
          <w:sz w:val="24"/>
          <w:szCs w:val="24"/>
        </w:rPr>
        <w:t>. (2015, 1 de septiembre). CVC. Diccionario de términos clave de ELE. Variedad lingüística.</w:t>
      </w:r>
    </w:p>
    <w:p w14:paraId="6F517B4A" w14:textId="77777777" w:rsidR="00BC7CF2" w:rsidRDefault="004D3042">
      <w:pPr>
        <w:pBdr>
          <w:top w:val="nil"/>
          <w:left w:val="nil"/>
          <w:bottom w:val="nil"/>
          <w:right w:val="nil"/>
          <w:between w:val="nil"/>
        </w:pBdr>
        <w:shd w:val="clear" w:color="auto" w:fill="FFFFFF"/>
        <w:spacing w:line="360" w:lineRule="auto"/>
        <w:ind w:left="720"/>
        <w:jc w:val="both"/>
        <w:rPr>
          <w:color w:val="212121"/>
          <w:sz w:val="24"/>
          <w:szCs w:val="24"/>
        </w:rPr>
      </w:pPr>
      <w:hyperlink r:id="rId13">
        <w:r w:rsidR="00F919FF">
          <w:rPr>
            <w:color w:val="0000FF"/>
            <w:sz w:val="24"/>
            <w:szCs w:val="24"/>
            <w:u w:val="single"/>
          </w:rPr>
          <w:t>https://cvc.cervantes.es/ensenanza/biblioteca_ele/diccio_ele/diccionario/variedadlinguistica.htm</w:t>
        </w:r>
      </w:hyperlink>
    </w:p>
    <w:p w14:paraId="23F3BAA0" w14:textId="77777777" w:rsidR="00BC7CF2" w:rsidRDefault="00BC7CF2">
      <w:pPr>
        <w:spacing w:line="360" w:lineRule="auto"/>
        <w:jc w:val="both"/>
        <w:rPr>
          <w:sz w:val="24"/>
          <w:szCs w:val="24"/>
          <w:u w:val="single"/>
        </w:rPr>
      </w:pPr>
    </w:p>
    <w:p w14:paraId="584B3F99" w14:textId="77777777" w:rsidR="00BC7CF2" w:rsidRDefault="00F919FF">
      <w:pPr>
        <w:numPr>
          <w:ilvl w:val="0"/>
          <w:numId w:val="1"/>
        </w:numPr>
        <w:spacing w:line="360" w:lineRule="auto"/>
        <w:jc w:val="both"/>
        <w:rPr>
          <w:sz w:val="24"/>
          <w:szCs w:val="24"/>
        </w:rPr>
      </w:pPr>
      <w:r>
        <w:rPr>
          <w:sz w:val="24"/>
          <w:szCs w:val="24"/>
        </w:rPr>
        <w:t xml:space="preserve">Gabriela </w:t>
      </w:r>
      <w:proofErr w:type="spellStart"/>
      <w:r>
        <w:rPr>
          <w:sz w:val="24"/>
          <w:szCs w:val="24"/>
        </w:rPr>
        <w:t>Coronata</w:t>
      </w:r>
      <w:proofErr w:type="spellEnd"/>
      <w:r>
        <w:rPr>
          <w:sz w:val="24"/>
          <w:szCs w:val="24"/>
        </w:rPr>
        <w:t xml:space="preserve"> Tapia (2016). Representaciones sociales en torno a las variedades lingüísticas “cuica” y “flaite” del español de Santiago de Chile.</w:t>
      </w:r>
    </w:p>
    <w:p w14:paraId="59D3C89E" w14:textId="77777777" w:rsidR="00BC7CF2" w:rsidRDefault="004D3042">
      <w:pPr>
        <w:spacing w:line="360" w:lineRule="auto"/>
        <w:ind w:left="720"/>
        <w:jc w:val="both"/>
        <w:rPr>
          <w:sz w:val="24"/>
          <w:szCs w:val="24"/>
        </w:rPr>
      </w:pPr>
      <w:hyperlink r:id="rId14">
        <w:r w:rsidR="00F919FF">
          <w:rPr>
            <w:color w:val="0000FF"/>
            <w:sz w:val="24"/>
            <w:szCs w:val="24"/>
            <w:u w:val="single"/>
          </w:rPr>
          <w:t>http://repositorio.uchile.cl/bitstream/handle/2250/143750/Representaciones-sociales-en-torno-a-las-variedades-linguisticas-cuica-y-flaite-del-espanol-de-Santiago-de-Chile.pdf?sequence=1&amp;isAllowed=y</w:t>
        </w:r>
      </w:hyperlink>
    </w:p>
    <w:p w14:paraId="2CC42ECA" w14:textId="77777777" w:rsidR="00BC7CF2" w:rsidRDefault="00BC7CF2">
      <w:pPr>
        <w:spacing w:line="360" w:lineRule="auto"/>
        <w:ind w:left="720"/>
        <w:jc w:val="both"/>
        <w:rPr>
          <w:sz w:val="24"/>
          <w:szCs w:val="24"/>
          <w:u w:val="single"/>
        </w:rPr>
      </w:pPr>
    </w:p>
    <w:p w14:paraId="7D43C99B" w14:textId="77777777" w:rsidR="00BC7CF2" w:rsidRDefault="00F919FF">
      <w:pPr>
        <w:numPr>
          <w:ilvl w:val="0"/>
          <w:numId w:val="1"/>
        </w:numPr>
        <w:spacing w:line="360" w:lineRule="auto"/>
        <w:jc w:val="both"/>
        <w:rPr>
          <w:sz w:val="24"/>
          <w:szCs w:val="24"/>
        </w:rPr>
      </w:pPr>
      <w:r>
        <w:rPr>
          <w:sz w:val="24"/>
          <w:szCs w:val="24"/>
        </w:rPr>
        <w:t>Lewis, E. y San Martín, A. (</w:t>
      </w:r>
      <w:proofErr w:type="spellStart"/>
      <w:r>
        <w:rPr>
          <w:sz w:val="24"/>
          <w:szCs w:val="24"/>
        </w:rPr>
        <w:t>n.d</w:t>
      </w:r>
      <w:proofErr w:type="spellEnd"/>
      <w:r>
        <w:rPr>
          <w:sz w:val="24"/>
          <w:szCs w:val="24"/>
        </w:rPr>
        <w:t>.). ¿</w:t>
      </w:r>
      <w:proofErr w:type="spellStart"/>
      <w:r>
        <w:rPr>
          <w:sz w:val="24"/>
          <w:szCs w:val="24"/>
        </w:rPr>
        <w:t>Cachái</w:t>
      </w:r>
      <w:proofErr w:type="spellEnd"/>
      <w:r>
        <w:rPr>
          <w:sz w:val="24"/>
          <w:szCs w:val="24"/>
        </w:rPr>
        <w:t>? y sus equivalentes funcionales en el habla santiaguina: análisis pragmático y sociolingüístico de los marcadores interrogativos de control de contacto.</w:t>
      </w:r>
    </w:p>
    <w:p w14:paraId="2C9A316D" w14:textId="77777777" w:rsidR="00BC7CF2" w:rsidRDefault="004D3042">
      <w:pPr>
        <w:spacing w:line="360" w:lineRule="auto"/>
        <w:ind w:left="720"/>
        <w:jc w:val="both"/>
        <w:rPr>
          <w:sz w:val="24"/>
          <w:szCs w:val="24"/>
          <w:u w:val="single"/>
        </w:rPr>
      </w:pPr>
      <w:hyperlink r:id="rId15">
        <w:r w:rsidR="00F919FF">
          <w:rPr>
            <w:color w:val="0000FF"/>
            <w:sz w:val="24"/>
            <w:szCs w:val="24"/>
            <w:u w:val="single"/>
          </w:rPr>
          <w:t>https://scielo.conicyt.cl/scielo.php?script=sci_arttext&amp;pid=S0716-58112018000100301</w:t>
        </w:r>
      </w:hyperlink>
    </w:p>
    <w:p w14:paraId="3266EEA7" w14:textId="77777777" w:rsidR="00BC7CF2" w:rsidRDefault="00BC7CF2">
      <w:pPr>
        <w:spacing w:line="360" w:lineRule="auto"/>
        <w:ind w:left="720"/>
        <w:jc w:val="both"/>
        <w:rPr>
          <w:sz w:val="24"/>
          <w:szCs w:val="24"/>
          <w:u w:val="single"/>
        </w:rPr>
      </w:pPr>
    </w:p>
    <w:p w14:paraId="31DE3E28" w14:textId="77777777" w:rsidR="00BC7CF2" w:rsidRDefault="00BC7CF2">
      <w:pPr>
        <w:spacing w:line="360" w:lineRule="auto"/>
        <w:ind w:left="720"/>
        <w:jc w:val="both"/>
        <w:rPr>
          <w:sz w:val="24"/>
          <w:szCs w:val="24"/>
          <w:u w:val="single"/>
        </w:rPr>
      </w:pPr>
    </w:p>
    <w:p w14:paraId="360354EE" w14:textId="77777777" w:rsidR="00BC7CF2" w:rsidRDefault="00BC7CF2">
      <w:pPr>
        <w:spacing w:line="360" w:lineRule="auto"/>
        <w:ind w:left="720"/>
        <w:jc w:val="both"/>
        <w:rPr>
          <w:sz w:val="24"/>
          <w:szCs w:val="24"/>
          <w:u w:val="single"/>
        </w:rPr>
      </w:pPr>
    </w:p>
    <w:p w14:paraId="38DE047B" w14:textId="77777777" w:rsidR="00BC7CF2" w:rsidRDefault="00BC7CF2">
      <w:pPr>
        <w:spacing w:line="360" w:lineRule="auto"/>
        <w:ind w:left="720"/>
        <w:jc w:val="both"/>
        <w:rPr>
          <w:sz w:val="24"/>
          <w:szCs w:val="24"/>
          <w:u w:val="single"/>
        </w:rPr>
      </w:pPr>
    </w:p>
    <w:p w14:paraId="385EAA3E" w14:textId="77777777" w:rsidR="00BC7CF2" w:rsidRDefault="00BC7CF2">
      <w:pPr>
        <w:spacing w:line="360" w:lineRule="auto"/>
        <w:ind w:left="720"/>
        <w:jc w:val="both"/>
        <w:rPr>
          <w:sz w:val="24"/>
          <w:szCs w:val="24"/>
          <w:u w:val="single"/>
        </w:rPr>
      </w:pPr>
    </w:p>
    <w:p w14:paraId="22B5D1E9" w14:textId="77777777" w:rsidR="00BC7CF2" w:rsidRDefault="00BC7CF2">
      <w:pPr>
        <w:spacing w:line="360" w:lineRule="auto"/>
        <w:ind w:left="720"/>
        <w:jc w:val="both"/>
        <w:rPr>
          <w:sz w:val="24"/>
          <w:szCs w:val="24"/>
          <w:u w:val="single"/>
        </w:rPr>
      </w:pPr>
    </w:p>
    <w:p w14:paraId="344292C4" w14:textId="77777777" w:rsidR="00BC7CF2" w:rsidRDefault="00BC7CF2">
      <w:pPr>
        <w:spacing w:line="360" w:lineRule="auto"/>
        <w:ind w:left="720"/>
        <w:jc w:val="both"/>
        <w:rPr>
          <w:sz w:val="24"/>
          <w:szCs w:val="24"/>
        </w:rPr>
      </w:pPr>
    </w:p>
    <w:p w14:paraId="790528BD" w14:textId="19838396" w:rsidR="00BC7CF2" w:rsidRDefault="00BC7CF2">
      <w:pPr>
        <w:spacing w:line="360" w:lineRule="auto"/>
        <w:ind w:left="720"/>
        <w:jc w:val="both"/>
        <w:rPr>
          <w:sz w:val="24"/>
          <w:szCs w:val="24"/>
          <w:highlight w:val="yellow"/>
        </w:rPr>
      </w:pPr>
    </w:p>
    <w:sectPr w:rsidR="00BC7CF2">
      <w:pgSz w:w="11909" w:h="16834"/>
      <w:pgMar w:top="425" w:right="1080" w:bottom="1111" w:left="108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uario de Windows" w:date="2020-06-04T18:29:00Z" w:initials="UdW">
    <w:p w14:paraId="0C3AAE69" w14:textId="4B0B10DB" w:rsidR="0028067D" w:rsidRDefault="0028067D">
      <w:pPr>
        <w:pStyle w:val="Textocomentario"/>
      </w:pPr>
      <w:r>
        <w:rPr>
          <w:rStyle w:val="Refdecomentario"/>
        </w:rPr>
        <w:annotationRef/>
      </w:r>
      <w:r>
        <w:t>Acá se presenta la tesis a defender.</w:t>
      </w:r>
      <w:r w:rsidR="00D6435F">
        <w:t xml:space="preserve"> Esta se encuentra </w:t>
      </w:r>
      <w:r w:rsidR="00671F44">
        <w:t xml:space="preserve">explícita </w:t>
      </w:r>
      <w:r w:rsidR="00D6435F">
        <w:t>dentro de la contextualización del tema.</w:t>
      </w:r>
    </w:p>
  </w:comment>
  <w:comment w:id="1" w:author="Usuario de Windows" w:date="2020-06-04T18:32:00Z" w:initials="UdW">
    <w:p w14:paraId="4241A40C" w14:textId="50A3BD3A" w:rsidR="0028067D" w:rsidRDefault="0028067D">
      <w:pPr>
        <w:pStyle w:val="Textocomentario"/>
      </w:pPr>
      <w:r>
        <w:rPr>
          <w:rStyle w:val="Refdecomentario"/>
        </w:rPr>
        <w:annotationRef/>
      </w:r>
      <w:r w:rsidR="00883A39">
        <w:t xml:space="preserve">Acá se presenta el objetivo y </w:t>
      </w:r>
      <w:r>
        <w:t>los tres argumentos que se desarrollarán en el ensayo.</w:t>
      </w:r>
    </w:p>
  </w:comment>
  <w:comment w:id="2" w:author="Usuario de Windows" w:date="2020-06-04T18:36:00Z" w:initials="UdW">
    <w:p w14:paraId="6B3F3926" w14:textId="77777777" w:rsidR="0028067D" w:rsidRDefault="0028067D">
      <w:pPr>
        <w:pStyle w:val="Textocomentario"/>
      </w:pPr>
      <w:r>
        <w:rPr>
          <w:rStyle w:val="Refdecomentario"/>
        </w:rPr>
        <w:annotationRef/>
      </w:r>
      <w:r>
        <w:t>Este el razonamiento donde la estudiante presenta su punto de vista con respecto a la tesis.</w:t>
      </w:r>
    </w:p>
  </w:comment>
  <w:comment w:id="3" w:author="Usuario de Windows" w:date="2020-06-04T18:35:00Z" w:initials="UdW">
    <w:p w14:paraId="73804A02" w14:textId="77777777" w:rsidR="0028067D" w:rsidRDefault="0028067D">
      <w:pPr>
        <w:pStyle w:val="Textocomentario"/>
      </w:pPr>
      <w:r>
        <w:rPr>
          <w:rStyle w:val="Refdecomentario"/>
        </w:rPr>
        <w:annotationRef/>
      </w:r>
      <w:r>
        <w:t>Esta es la evidencia que sustenta el razonamiento.</w:t>
      </w:r>
    </w:p>
  </w:comment>
  <w:comment w:id="4" w:author="Usuario de Windows" w:date="2020-06-04T18:43:00Z" w:initials="UdW">
    <w:p w14:paraId="1BA41B73" w14:textId="77777777" w:rsidR="00D9183D" w:rsidRDefault="00D9183D">
      <w:pPr>
        <w:pStyle w:val="Textocomentario"/>
      </w:pPr>
      <w:r>
        <w:rPr>
          <w:rStyle w:val="Refdecomentario"/>
        </w:rPr>
        <w:annotationRef/>
      </w:r>
      <w:r>
        <w:t>Esta es otra evidencia del razonamiento.</w:t>
      </w:r>
    </w:p>
  </w:comment>
  <w:comment w:id="5" w:author="Usuario de Windows" w:date="2020-10-12T22:03:00Z" w:initials="UdW">
    <w:p w14:paraId="061368B7" w14:textId="36B359A9" w:rsidR="002674E5" w:rsidRDefault="002674E5">
      <w:pPr>
        <w:pStyle w:val="Textocomentario"/>
      </w:pPr>
      <w:r>
        <w:rPr>
          <w:rStyle w:val="Refdecomentario"/>
        </w:rPr>
        <w:annotationRef/>
      </w:r>
      <w:r>
        <w:t>Esta es la conclusión del ensayo.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3AAE69" w15:done="0"/>
  <w15:commentEx w15:paraId="4241A40C" w15:done="0"/>
  <w15:commentEx w15:paraId="6B3F3926" w15:done="0"/>
  <w15:commentEx w15:paraId="73804A02" w15:done="0"/>
  <w15:commentEx w15:paraId="1BA41B73" w15:done="0"/>
  <w15:commentEx w15:paraId="061368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3AAE69" w16cid:durableId="242D2745"/>
  <w16cid:commentId w16cid:paraId="4241A40C" w16cid:durableId="242D2746"/>
  <w16cid:commentId w16cid:paraId="6B3F3926" w16cid:durableId="242D2747"/>
  <w16cid:commentId w16cid:paraId="73804A02" w16cid:durableId="242D2748"/>
  <w16cid:commentId w16cid:paraId="1BA41B73" w16cid:durableId="242D2749"/>
  <w16cid:commentId w16cid:paraId="061368B7" w16cid:durableId="242D27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C84F4" w14:textId="77777777" w:rsidR="004D3042" w:rsidRDefault="004D3042">
      <w:pPr>
        <w:spacing w:line="240" w:lineRule="auto"/>
      </w:pPr>
      <w:r>
        <w:separator/>
      </w:r>
    </w:p>
  </w:endnote>
  <w:endnote w:type="continuationSeparator" w:id="0">
    <w:p w14:paraId="4CA872FA" w14:textId="77777777" w:rsidR="004D3042" w:rsidRDefault="004D3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BFFD7" w14:textId="77777777" w:rsidR="004D3042" w:rsidRDefault="004D3042">
      <w:pPr>
        <w:spacing w:line="240" w:lineRule="auto"/>
      </w:pPr>
      <w:r>
        <w:separator/>
      </w:r>
    </w:p>
  </w:footnote>
  <w:footnote w:type="continuationSeparator" w:id="0">
    <w:p w14:paraId="7EE3D7D8" w14:textId="77777777" w:rsidR="004D3042" w:rsidRDefault="004D3042">
      <w:pPr>
        <w:spacing w:line="240" w:lineRule="auto"/>
      </w:pPr>
      <w:r>
        <w:continuationSeparator/>
      </w:r>
    </w:p>
  </w:footnote>
  <w:footnote w:id="1">
    <w:p w14:paraId="3A3C4766" w14:textId="77777777" w:rsidR="00BC7CF2" w:rsidRDefault="00F919FF">
      <w:pPr>
        <w:spacing w:line="240" w:lineRule="auto"/>
        <w:rPr>
          <w:sz w:val="20"/>
          <w:szCs w:val="20"/>
        </w:rPr>
      </w:pPr>
      <w:r>
        <w:rPr>
          <w:vertAlign w:val="superscript"/>
        </w:rPr>
        <w:footnoteRef/>
      </w:r>
      <w:r>
        <w:rPr>
          <w:sz w:val="20"/>
          <w:szCs w:val="20"/>
        </w:rPr>
        <w:t xml:space="preserve"> </w:t>
      </w:r>
      <w:proofErr w:type="spellStart"/>
      <w:r>
        <w:rPr>
          <w:sz w:val="24"/>
          <w:szCs w:val="24"/>
        </w:rPr>
        <w:t>Trudgill</w:t>
      </w:r>
      <w:proofErr w:type="spellEnd"/>
      <w:r>
        <w:rPr>
          <w:sz w:val="24"/>
          <w:szCs w:val="24"/>
        </w:rPr>
        <w:t xml:space="preserve"> y Hernández, 2007.</w:t>
      </w:r>
    </w:p>
  </w:footnote>
  <w:footnote w:id="2">
    <w:p w14:paraId="358BF8FC" w14:textId="77777777" w:rsidR="00BC7CF2" w:rsidRDefault="00F919FF">
      <w:pPr>
        <w:spacing w:line="240" w:lineRule="auto"/>
        <w:rPr>
          <w:sz w:val="20"/>
          <w:szCs w:val="20"/>
        </w:rPr>
      </w:pPr>
      <w:r>
        <w:rPr>
          <w:vertAlign w:val="superscript"/>
        </w:rPr>
        <w:footnoteRef/>
      </w:r>
      <w:r>
        <w:rPr>
          <w:sz w:val="20"/>
          <w:szCs w:val="20"/>
        </w:rPr>
        <w:t xml:space="preserve"> </w:t>
      </w:r>
      <w:proofErr w:type="spellStart"/>
      <w:r>
        <w:rPr>
          <w:sz w:val="24"/>
          <w:szCs w:val="24"/>
        </w:rPr>
        <w:t>Trudgill</w:t>
      </w:r>
      <w:proofErr w:type="spellEnd"/>
      <w:r>
        <w:rPr>
          <w:sz w:val="24"/>
          <w:szCs w:val="24"/>
        </w:rPr>
        <w:t>, 2000.</w:t>
      </w:r>
    </w:p>
  </w:footnote>
  <w:footnote w:id="3">
    <w:p w14:paraId="55DBA8B9" w14:textId="77777777" w:rsidR="00BC7CF2" w:rsidRDefault="00F919FF">
      <w:pPr>
        <w:spacing w:line="240" w:lineRule="auto"/>
        <w:rPr>
          <w:sz w:val="24"/>
          <w:szCs w:val="24"/>
        </w:rPr>
      </w:pPr>
      <w:r>
        <w:rPr>
          <w:vertAlign w:val="superscript"/>
        </w:rPr>
        <w:footnoteRef/>
      </w:r>
      <w:r>
        <w:rPr>
          <w:sz w:val="24"/>
          <w:szCs w:val="24"/>
        </w:rPr>
        <w:t xml:space="preserve"> Bourdieu, 1997.</w:t>
      </w:r>
    </w:p>
  </w:footnote>
  <w:footnote w:id="4">
    <w:p w14:paraId="66E49E7E" w14:textId="77777777" w:rsidR="00BC7CF2" w:rsidRDefault="00F919FF">
      <w:pPr>
        <w:spacing w:line="240" w:lineRule="auto"/>
        <w:rPr>
          <w:sz w:val="20"/>
          <w:szCs w:val="20"/>
        </w:rPr>
      </w:pPr>
      <w:r>
        <w:rPr>
          <w:vertAlign w:val="superscript"/>
        </w:rPr>
        <w:footnoteRef/>
      </w:r>
      <w:r>
        <w:rPr>
          <w:sz w:val="20"/>
          <w:szCs w:val="20"/>
        </w:rPr>
        <w:t xml:space="preserve"> </w:t>
      </w:r>
      <w:r>
        <w:rPr>
          <w:sz w:val="24"/>
          <w:szCs w:val="24"/>
        </w:rPr>
        <w:t>Althusser, 1971.</w:t>
      </w:r>
    </w:p>
  </w:footnote>
  <w:footnote w:id="5">
    <w:p w14:paraId="6BA12714" w14:textId="77777777" w:rsidR="00BC7CF2" w:rsidRDefault="00F919FF">
      <w:pPr>
        <w:spacing w:line="240" w:lineRule="auto"/>
        <w:rPr>
          <w:sz w:val="20"/>
          <w:szCs w:val="20"/>
        </w:rPr>
      </w:pPr>
      <w:r>
        <w:rPr>
          <w:vertAlign w:val="superscript"/>
        </w:rPr>
        <w:footnoteRef/>
      </w:r>
      <w:r>
        <w:rPr>
          <w:sz w:val="20"/>
          <w:szCs w:val="20"/>
        </w:rPr>
        <w:t xml:space="preserve"> </w:t>
      </w:r>
      <w:r>
        <w:rPr>
          <w:sz w:val="24"/>
          <w:szCs w:val="24"/>
        </w:rPr>
        <w:t>Silva-Corvalán, 2001.</w:t>
      </w:r>
    </w:p>
  </w:footnote>
  <w:footnote w:id="6">
    <w:p w14:paraId="20652C45" w14:textId="77777777" w:rsidR="00BC7CF2" w:rsidRDefault="00F919FF">
      <w:pPr>
        <w:spacing w:line="240" w:lineRule="auto"/>
        <w:rPr>
          <w:sz w:val="20"/>
          <w:szCs w:val="20"/>
        </w:rPr>
      </w:pPr>
      <w:r>
        <w:rPr>
          <w:vertAlign w:val="superscript"/>
        </w:rPr>
        <w:footnoteRef/>
      </w:r>
      <w:r>
        <w:rPr>
          <w:sz w:val="20"/>
          <w:szCs w:val="20"/>
        </w:rPr>
        <w:t xml:space="preserve"> </w:t>
      </w:r>
      <w:proofErr w:type="spellStart"/>
      <w:r>
        <w:rPr>
          <w:sz w:val="24"/>
          <w:szCs w:val="24"/>
        </w:rPr>
        <w:t>Doise</w:t>
      </w:r>
      <w:proofErr w:type="spellEnd"/>
      <w:r>
        <w:rPr>
          <w:sz w:val="24"/>
          <w:szCs w:val="24"/>
        </w:rPr>
        <w:t xml:space="preserve"> et al., 1978.</w:t>
      </w:r>
    </w:p>
  </w:footnote>
  <w:footnote w:id="7">
    <w:p w14:paraId="64600C3C" w14:textId="77777777" w:rsidR="00BC7CF2" w:rsidRDefault="00F919F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color w:val="000000"/>
          <w:sz w:val="24"/>
          <w:szCs w:val="24"/>
        </w:rPr>
        <w:t>Gastón Salamanca y Ana Valverde, 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4230B"/>
    <w:multiLevelType w:val="multilevel"/>
    <w:tmpl w:val="4634A9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lvl>
    <w:lvl w:ilvl="2">
      <w:start w:val="1"/>
      <w:numFmt w:val="bullet"/>
      <w:lvlText w:val="■"/>
      <w:lvlJc w:val="left"/>
      <w:pPr>
        <w:ind w:left="2160" w:hanging="18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18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F2"/>
    <w:rsid w:val="001538EC"/>
    <w:rsid w:val="002674E5"/>
    <w:rsid w:val="0028067D"/>
    <w:rsid w:val="004D3042"/>
    <w:rsid w:val="0050587A"/>
    <w:rsid w:val="00671F44"/>
    <w:rsid w:val="008248F3"/>
    <w:rsid w:val="00883A39"/>
    <w:rsid w:val="00BC7CF2"/>
    <w:rsid w:val="00D6435F"/>
    <w:rsid w:val="00D9183D"/>
    <w:rsid w:val="00F919F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DFEC4"/>
  <w15:docId w15:val="{E01A3E0D-820B-41CF-AA90-BC5AA636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character" w:styleId="Hipervnculo">
    <w:name w:val="Hyperlink"/>
    <w:basedOn w:val="Fuentedeprrafopredeter"/>
    <w:uiPriority w:val="99"/>
    <w:unhideWhenUsed/>
    <w:rsid w:val="007E6A09"/>
    <w:rPr>
      <w:color w:val="0000FF"/>
      <w:u w:val="single"/>
    </w:rPr>
  </w:style>
  <w:style w:type="character" w:customStyle="1" w:styleId="Mencinsinresolver1">
    <w:name w:val="Mención sin resolver1"/>
    <w:basedOn w:val="Fuentedeprrafopredeter"/>
    <w:uiPriority w:val="99"/>
    <w:semiHidden/>
    <w:unhideWhenUsed/>
    <w:rsid w:val="007E6A09"/>
    <w:rPr>
      <w:color w:val="605E5C"/>
      <w:shd w:val="clear" w:color="auto" w:fill="E1DFDD"/>
    </w:rPr>
  </w:style>
  <w:style w:type="paragraph" w:styleId="Prrafodelista">
    <w:name w:val="List Paragraph"/>
    <w:basedOn w:val="Normal"/>
    <w:uiPriority w:val="34"/>
    <w:qFormat/>
    <w:rsid w:val="007E6A09"/>
    <w:pPr>
      <w:ind w:left="720"/>
      <w:contextualSpacing/>
    </w:pPr>
  </w:style>
  <w:style w:type="paragraph" w:styleId="Textonotapie">
    <w:name w:val="footnote text"/>
    <w:basedOn w:val="Normal"/>
    <w:link w:val="TextonotapieCar"/>
    <w:uiPriority w:val="99"/>
    <w:semiHidden/>
    <w:unhideWhenUsed/>
    <w:rsid w:val="00E83AC2"/>
    <w:pPr>
      <w:spacing w:line="240" w:lineRule="auto"/>
    </w:pPr>
    <w:rPr>
      <w:sz w:val="20"/>
      <w:szCs w:val="20"/>
    </w:rPr>
  </w:style>
  <w:style w:type="character" w:customStyle="1" w:styleId="TextonotapieCar">
    <w:name w:val="Texto nota pie Car"/>
    <w:basedOn w:val="Fuentedeprrafopredeter"/>
    <w:link w:val="Textonotapie"/>
    <w:uiPriority w:val="99"/>
    <w:semiHidden/>
    <w:rsid w:val="00E83AC2"/>
    <w:rPr>
      <w:sz w:val="20"/>
      <w:szCs w:val="20"/>
    </w:rPr>
  </w:style>
  <w:style w:type="character" w:styleId="Refdenotaalpie">
    <w:name w:val="footnote reference"/>
    <w:basedOn w:val="Fuentedeprrafopredeter"/>
    <w:uiPriority w:val="99"/>
    <w:semiHidden/>
    <w:unhideWhenUsed/>
    <w:rsid w:val="00E83AC2"/>
    <w:rPr>
      <w:vertAlign w:val="superscript"/>
    </w:rPr>
  </w:style>
  <w:style w:type="character" w:customStyle="1" w:styleId="Ttulo1Car">
    <w:name w:val="Título 1 Car"/>
    <w:basedOn w:val="Fuentedeprrafopredeter"/>
    <w:link w:val="Ttulo1"/>
    <w:uiPriority w:val="9"/>
    <w:rsid w:val="00E83AC2"/>
    <w:rPr>
      <w:sz w:val="40"/>
      <w:szCs w:val="40"/>
    </w:rPr>
  </w:style>
  <w:style w:type="table" w:customStyle="1" w:styleId="a">
    <w:basedOn w:val="TableNormal0"/>
    <w:tblPr>
      <w:tblStyleRowBandSize w:val="1"/>
      <w:tblStyleColBandSize w:val="1"/>
      <w:tblCellMar>
        <w:top w:w="100" w:type="dxa"/>
        <w:left w:w="100" w:type="dxa"/>
        <w:bottom w:w="100" w:type="dxa"/>
        <w:right w:w="100" w:type="dxa"/>
      </w:tblCellMar>
    </w:tblPr>
  </w:style>
  <w:style w:type="character" w:styleId="Refdecomentario">
    <w:name w:val="annotation reference"/>
    <w:basedOn w:val="Fuentedeprrafopredeter"/>
    <w:uiPriority w:val="99"/>
    <w:semiHidden/>
    <w:unhideWhenUsed/>
    <w:rsid w:val="0028067D"/>
    <w:rPr>
      <w:sz w:val="16"/>
      <w:szCs w:val="16"/>
    </w:rPr>
  </w:style>
  <w:style w:type="paragraph" w:styleId="Textocomentario">
    <w:name w:val="annotation text"/>
    <w:basedOn w:val="Normal"/>
    <w:link w:val="TextocomentarioCar"/>
    <w:uiPriority w:val="99"/>
    <w:semiHidden/>
    <w:unhideWhenUsed/>
    <w:rsid w:val="0028067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8067D"/>
    <w:rPr>
      <w:sz w:val="20"/>
      <w:szCs w:val="20"/>
    </w:rPr>
  </w:style>
  <w:style w:type="paragraph" w:styleId="Asuntodelcomentario">
    <w:name w:val="annotation subject"/>
    <w:basedOn w:val="Textocomentario"/>
    <w:next w:val="Textocomentario"/>
    <w:link w:val="AsuntodelcomentarioCar"/>
    <w:uiPriority w:val="99"/>
    <w:semiHidden/>
    <w:unhideWhenUsed/>
    <w:rsid w:val="0028067D"/>
    <w:rPr>
      <w:b/>
      <w:bCs/>
    </w:rPr>
  </w:style>
  <w:style w:type="character" w:customStyle="1" w:styleId="AsuntodelcomentarioCar">
    <w:name w:val="Asunto del comentario Car"/>
    <w:basedOn w:val="TextocomentarioCar"/>
    <w:link w:val="Asuntodelcomentario"/>
    <w:uiPriority w:val="99"/>
    <w:semiHidden/>
    <w:rsid w:val="0028067D"/>
    <w:rPr>
      <w:b/>
      <w:bCs/>
      <w:sz w:val="20"/>
      <w:szCs w:val="20"/>
    </w:rPr>
  </w:style>
  <w:style w:type="paragraph" w:styleId="Textodeglobo">
    <w:name w:val="Balloon Text"/>
    <w:basedOn w:val="Normal"/>
    <w:link w:val="TextodegloboCar"/>
    <w:uiPriority w:val="99"/>
    <w:semiHidden/>
    <w:unhideWhenUsed/>
    <w:rsid w:val="0028067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06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cvc.cervantes.es/ensenanza/biblioteca_ele/diccio_ele/diccionario/variedadlinguistica.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amp/www.ladiscusion.cl/simce-2018-brecha-se-mantiene-entre-municipales-y-particulares/"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amp/s/www.latercera.com/noticia/resultados-simce-2013-revisa-el-ranking-con-los-mejores-colegios-de-la-region-metropolitana/%3foutputType=amp" TargetMode="External"/><Relationship Id="rId5" Type="http://schemas.openxmlformats.org/officeDocument/2006/relationships/webSettings" Target="webSettings.xml"/><Relationship Id="rId15" Type="http://schemas.openxmlformats.org/officeDocument/2006/relationships/hyperlink" Target="https://scielo.conicyt.cl/scielo.php?script=sci_arttext&amp;pid=S0716-58112018000100301" TargetMode="Externa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repositorio.uchile.cl/bitstream/handle/2250/143750/Representaciones-sociales-en-torno-a-las-variedades-linguisticas-cuica-y-flaite-del-espanol-de-Santiago-de-Chile.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hMx9pjOhUg5ERmb5KAUNhqQOVQ==">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1502</Words>
  <Characters>8266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Brante</dc:creator>
  <cp:lastModifiedBy>vcamp</cp:lastModifiedBy>
  <cp:revision>2</cp:revision>
  <dcterms:created xsi:type="dcterms:W3CDTF">2021-04-23T15:01:00Z</dcterms:created>
  <dcterms:modified xsi:type="dcterms:W3CDTF">2021-04-23T15:01:00Z</dcterms:modified>
</cp:coreProperties>
</file>