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7565B2">
      <w:pPr>
        <w:shd w:val="clear" w:color="auto" w:fill="FFFFFF"/>
        <w:spacing w:after="0" w:line="240" w:lineRule="auto"/>
        <w:outlineLvl w:val="0"/>
        <w:rPr>
          <w:rFonts w:eastAsia="Times New Roman" w:cstheme="minorHAnsi"/>
          <w:color w:val="000000"/>
          <w:kern w:val="36"/>
          <w:sz w:val="36"/>
          <w:szCs w:val="36"/>
        </w:rPr>
      </w:pPr>
    </w:p>
    <w:p w:rsidR="005E6D8E" w:rsidRPr="001D1FEC" w:rsidRDefault="001D1FEC" w:rsidP="001D1FEC">
      <w:pPr>
        <w:pStyle w:val="NormalWeb"/>
        <w:shd w:val="clear" w:color="auto" w:fill="FFFFFF"/>
        <w:jc w:val="center"/>
        <w:rPr>
          <w:rFonts w:ascii="Arial" w:hAnsi="Arial" w:cs="Arial"/>
          <w:shadow/>
          <w:spacing w:val="40"/>
          <w:sz w:val="32"/>
          <w:szCs w:val="20"/>
        </w:rPr>
      </w:pPr>
      <w:r w:rsidRPr="001D1FEC">
        <w:rPr>
          <w:rStyle w:val="Textoennegrita"/>
          <w:rFonts w:ascii="Arial" w:hAnsi="Arial"/>
          <w:shadow/>
          <w:color w:val="181818"/>
          <w:spacing w:val="40"/>
          <w:sz w:val="32"/>
          <w:szCs w:val="36"/>
        </w:rPr>
        <w:t>PUELCHE BRAVO 2DO. AÑO ABASTECIMIENTO</w:t>
      </w:r>
    </w:p>
    <w:p w:rsidR="006464D9" w:rsidRPr="00A0326A" w:rsidRDefault="006464D9" w:rsidP="00A0326A">
      <w:pPr>
        <w:pStyle w:val="NormalWeb"/>
        <w:spacing w:before="0" w:beforeAutospacing="0" w:after="150" w:afterAutospacing="0" w:line="360" w:lineRule="auto"/>
        <w:jc w:val="both"/>
        <w:rPr>
          <w:rFonts w:ascii="Arial" w:hAnsi="Arial" w:cs="Arial"/>
          <w:color w:val="181818"/>
        </w:rPr>
      </w:pPr>
      <w:r w:rsidRPr="00A0326A">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A0326A" w:rsidRDefault="00A0326A" w:rsidP="00A0326A">
      <w:pPr>
        <w:pStyle w:val="NormalWeb"/>
        <w:spacing w:before="0" w:beforeAutospacing="0" w:after="150" w:afterAutospacing="0" w:line="360" w:lineRule="auto"/>
        <w:jc w:val="both"/>
        <w:rPr>
          <w:rFonts w:ascii="Arial" w:hAnsi="Arial" w:cs="Arial"/>
          <w:color w:val="181818"/>
        </w:rPr>
        <w:sectPr w:rsidR="00A0326A" w:rsidSect="00E00CB7">
          <w:headerReference w:type="default" r:id="rId8"/>
          <w:footerReference w:type="default" r:id="rId9"/>
          <w:pgSz w:w="12240" w:h="15840" w:code="1"/>
          <w:pgMar w:top="1985" w:right="851" w:bottom="1985" w:left="851" w:header="720" w:footer="720" w:gutter="567"/>
          <w:cols w:space="720"/>
          <w:docGrid w:linePitch="360"/>
        </w:sectPr>
      </w:pPr>
    </w:p>
    <w:p w:rsidR="006464D9" w:rsidRPr="00A0326A" w:rsidRDefault="006464D9" w:rsidP="00A0326A">
      <w:pPr>
        <w:pStyle w:val="NormalWeb"/>
        <w:spacing w:before="0" w:beforeAutospacing="0" w:after="150" w:afterAutospacing="0" w:line="360" w:lineRule="auto"/>
        <w:jc w:val="both"/>
        <w:rPr>
          <w:rFonts w:ascii="Arial" w:hAnsi="Arial" w:cs="Arial"/>
          <w:color w:val="181818"/>
        </w:rPr>
      </w:pPr>
      <w:r w:rsidRPr="00A0326A">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A0326A" w:rsidRDefault="001C6524" w:rsidP="00A0326A">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9264" behindDoc="1" locked="0" layoutInCell="1" allowOverlap="1">
            <wp:simplePos x="0" y="0"/>
            <wp:positionH relativeFrom="column">
              <wp:posOffset>3042920</wp:posOffset>
            </wp:positionH>
            <wp:positionV relativeFrom="paragraph">
              <wp:posOffset>2302510</wp:posOffset>
            </wp:positionV>
            <wp:extent cx="3238500" cy="2043430"/>
            <wp:effectExtent l="19050" t="0" r="0" b="0"/>
            <wp:wrapTight wrapText="bothSides">
              <wp:wrapPolygon edited="0">
                <wp:start x="-127" y="0"/>
                <wp:lineTo x="-127" y="21345"/>
                <wp:lineTo x="21600" y="21345"/>
                <wp:lineTo x="21600" y="0"/>
                <wp:lineTo x="-127" y="0"/>
              </wp:wrapPolygon>
            </wp:wrapTight>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238500" cy="2043430"/>
                    </a:xfrm>
                    <a:prstGeom prst="rect">
                      <a:avLst/>
                    </a:prstGeom>
                  </pic:spPr>
                </pic:pic>
              </a:graphicData>
            </a:graphic>
          </wp:anchor>
        </w:drawing>
      </w:r>
      <w:r w:rsidR="006464D9" w:rsidRPr="00A0326A">
        <w:rPr>
          <w:rFonts w:ascii="Arial" w:hAnsi="Arial" w:cs="Arial"/>
          <w:color w:val="181818"/>
        </w:rPr>
        <w:t xml:space="preserve">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w:t>
      </w:r>
      <w:r w:rsidR="006464D9" w:rsidRPr="00A0326A">
        <w:rPr>
          <w:rFonts w:ascii="Arial" w:hAnsi="Arial" w:cs="Arial"/>
          <w:color w:val="181818"/>
        </w:rPr>
        <w:lastRenderedPageBreak/>
        <w:t>visión integral de los roles y desafíos logísticos dentro de este contexto.</w:t>
      </w:r>
    </w:p>
    <w:p w:rsidR="006464D9" w:rsidRPr="00A0326A" w:rsidRDefault="006464D9" w:rsidP="00A0326A">
      <w:pPr>
        <w:pStyle w:val="NormalWeb"/>
        <w:spacing w:before="0" w:beforeAutospacing="0" w:after="150" w:afterAutospacing="0" w:line="360" w:lineRule="auto"/>
        <w:jc w:val="both"/>
        <w:rPr>
          <w:rFonts w:ascii="Arial" w:hAnsi="Arial" w:cs="Arial"/>
          <w:color w:val="181818"/>
        </w:rPr>
      </w:pPr>
      <w:r w:rsidRPr="00A0326A">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A0326A" w:rsidRDefault="00A0326A" w:rsidP="00A0326A">
      <w:pPr>
        <w:pStyle w:val="NormalWeb"/>
        <w:spacing w:before="0" w:beforeAutospacing="0" w:after="150" w:afterAutospacing="0" w:line="360" w:lineRule="auto"/>
        <w:jc w:val="both"/>
        <w:rPr>
          <w:rFonts w:ascii="Arial" w:hAnsi="Arial" w:cs="Arial"/>
          <w:color w:val="181818"/>
        </w:rPr>
        <w:sectPr w:rsidR="00A0326A" w:rsidSect="00A0326A">
          <w:type w:val="continuous"/>
          <w:pgSz w:w="12240" w:h="15840" w:code="1"/>
          <w:pgMar w:top="1985" w:right="851" w:bottom="1985" w:left="851" w:header="720" w:footer="720" w:gutter="567"/>
          <w:cols w:num="2" w:space="720"/>
          <w:docGrid w:linePitch="360"/>
        </w:sectPr>
      </w:pPr>
    </w:p>
    <w:p w:rsidR="006464D9" w:rsidRPr="00A0326A" w:rsidRDefault="006464D9" w:rsidP="00A0326A">
      <w:pPr>
        <w:pStyle w:val="NormalWeb"/>
        <w:spacing w:before="0" w:beforeAutospacing="0" w:after="150" w:afterAutospacing="0" w:line="360" w:lineRule="auto"/>
        <w:jc w:val="both"/>
        <w:rPr>
          <w:rFonts w:ascii="Arial" w:hAnsi="Arial" w:cs="Arial"/>
          <w:color w:val="181818"/>
        </w:rPr>
      </w:pPr>
      <w:r w:rsidRPr="00A0326A">
        <w:rPr>
          <w:rFonts w:ascii="Arial" w:hAnsi="Arial" w:cs="Arial"/>
          <w:color w:val="181818"/>
        </w:rPr>
        <w:t xml:space="preserve">Otro lugar destacado en su recorrido fue el Hospital Naval de Talcahuano “Almirante Adriazola”, repartición médica de alta </w:t>
      </w:r>
      <w:r w:rsidRPr="00A0326A">
        <w:rPr>
          <w:rFonts w:ascii="Arial" w:hAnsi="Arial" w:cs="Arial"/>
          <w:color w:val="181818"/>
        </w:rPr>
        <w:lastRenderedPageBreak/>
        <w:t>complejidad. En aquel lugar, el Subdirector de Finanzas, Capitán de Fragata AB Claudio Guevara Vegas, mostró a los Cadetes los diferentes servicios que brinda dicha unidad al personal naval.</w:t>
      </w:r>
    </w:p>
    <w:p w:rsidR="006464D9" w:rsidRPr="00A0326A" w:rsidRDefault="006464D9" w:rsidP="00A0326A">
      <w:pPr>
        <w:pStyle w:val="NormalWeb"/>
        <w:spacing w:before="0" w:beforeAutospacing="0" w:after="150" w:afterAutospacing="0" w:line="360" w:lineRule="auto"/>
        <w:jc w:val="both"/>
        <w:rPr>
          <w:rFonts w:ascii="Arial" w:hAnsi="Arial" w:cs="Arial"/>
          <w:color w:val="181818"/>
        </w:rPr>
      </w:pPr>
      <w:r w:rsidRPr="00A0326A">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266BBE">
        <w:rPr>
          <w:rStyle w:val="Refdenotaalpie"/>
          <w:rFonts w:ascii="Arial" w:hAnsi="Arial" w:cs="Arial"/>
          <w:color w:val="181818"/>
        </w:rPr>
        <w:footnoteReference w:id="2"/>
      </w:r>
    </w:p>
    <w:p w:rsidR="000A0622" w:rsidRDefault="000A0622" w:rsidP="00A0326A">
      <w:pPr>
        <w:jc w:val="both"/>
        <w:rPr>
          <w:rFonts w:ascii="Arial" w:hAnsi="Arial" w:cs="Arial"/>
          <w:sz w:val="24"/>
          <w:szCs w:val="24"/>
          <w:shd w:val="clear" w:color="auto" w:fill="FFFFFF"/>
        </w:rPr>
      </w:pPr>
    </w:p>
    <w:p w:rsidR="005E6D8E" w:rsidRDefault="005E6D8E" w:rsidP="00A0326A">
      <w:pPr>
        <w:jc w:val="both"/>
        <w:rPr>
          <w:rFonts w:ascii="Arial" w:hAnsi="Arial" w:cs="Arial"/>
          <w:sz w:val="24"/>
          <w:szCs w:val="24"/>
          <w:shd w:val="clear" w:color="auto" w:fill="FFFFFF"/>
        </w:rPr>
      </w:pPr>
    </w:p>
    <w:p w:rsidR="006464D9" w:rsidRDefault="006464D9" w:rsidP="00A0326A">
      <w:pPr>
        <w:jc w:val="both"/>
        <w:rPr>
          <w:rFonts w:ascii="Arial" w:hAnsi="Arial" w:cs="Arial"/>
          <w:sz w:val="24"/>
          <w:szCs w:val="24"/>
          <w:shd w:val="clear" w:color="auto" w:fill="FFFFFF"/>
        </w:rPr>
      </w:pPr>
    </w:p>
    <w:p w:rsidR="006464D9" w:rsidRDefault="006464D9" w:rsidP="00A0326A">
      <w:pPr>
        <w:jc w:val="both"/>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A0326A">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4DCA" w:rsidRDefault="00B34DCA" w:rsidP="005D5414">
      <w:pPr>
        <w:spacing w:after="0" w:line="240" w:lineRule="auto"/>
      </w:pPr>
      <w:r>
        <w:separator/>
      </w:r>
    </w:p>
  </w:endnote>
  <w:endnote w:type="continuationSeparator" w:id="1">
    <w:p w:rsidR="00B34DCA" w:rsidRDefault="00B34DCA"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04388"/>
      <w:docPartObj>
        <w:docPartGallery w:val="Page Numbers (Bottom of Page)"/>
        <w:docPartUnique/>
      </w:docPartObj>
    </w:sdtPr>
    <w:sdtContent>
      <w:p w:rsidR="00266BBE" w:rsidRDefault="00266BBE">
        <w:pPr>
          <w:pStyle w:val="Piedepgina"/>
          <w:jc w:val="right"/>
        </w:pPr>
        <w:fldSimple w:instr=" PAGE   \* MERGEFORMAT ">
          <w:r w:rsidR="0091279D">
            <w:rPr>
              <w:noProof/>
            </w:rPr>
            <w:t>2</w:t>
          </w:r>
        </w:fldSimple>
      </w:p>
    </w:sdtContent>
  </w:sdt>
  <w:p w:rsidR="00266BBE" w:rsidRDefault="00266BB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4DCA" w:rsidRDefault="00B34DCA" w:rsidP="005D5414">
      <w:pPr>
        <w:spacing w:after="0" w:line="240" w:lineRule="auto"/>
      </w:pPr>
      <w:r>
        <w:separator/>
      </w:r>
    </w:p>
  </w:footnote>
  <w:footnote w:type="continuationSeparator" w:id="1">
    <w:p w:rsidR="00B34DCA" w:rsidRDefault="00B34DCA" w:rsidP="005D5414">
      <w:pPr>
        <w:spacing w:after="0" w:line="240" w:lineRule="auto"/>
      </w:pPr>
      <w:r>
        <w:continuationSeparator/>
      </w:r>
    </w:p>
  </w:footnote>
  <w:footnote w:id="2">
    <w:p w:rsidR="00266BBE" w:rsidRPr="0048708A" w:rsidRDefault="00266BBE" w:rsidP="00266BBE">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r>
        <w:rPr>
          <w:rStyle w:val="Refdenotaalpie"/>
          <w:rFonts w:ascii="Arial" w:hAnsi="Arial" w:cs="Arial"/>
          <w:sz w:val="24"/>
          <w:szCs w:val="24"/>
          <w:shd w:val="clear" w:color="auto" w:fill="FFFFFF"/>
        </w:rPr>
        <w:footnoteRef/>
      </w:r>
    </w:p>
    <w:p w:rsidR="00266BBE" w:rsidRDefault="00266BBE">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4CE" w:rsidRPr="009954CE" w:rsidRDefault="009954CE">
    <w:pPr>
      <w:pStyle w:val="Encabezado"/>
      <w:rPr>
        <w:rFonts w:ascii="Arial" w:hAnsi="Arial"/>
        <w:b/>
        <w:sz w:val="16"/>
      </w:rPr>
    </w:pPr>
    <w:r w:rsidRPr="009954CE">
      <w:rPr>
        <w:rFonts w:ascii="Arial" w:hAnsi="Arial"/>
        <w:b/>
        <w:sz w:val="16"/>
      </w:rPr>
      <w:drawing>
        <wp:anchor distT="0" distB="0" distL="114300" distR="114300" simplePos="0" relativeHeight="251658240" behindDoc="1" locked="0" layoutInCell="1" allowOverlap="1">
          <wp:simplePos x="0" y="0"/>
          <wp:positionH relativeFrom="column">
            <wp:posOffset>-436245</wp:posOffset>
          </wp:positionH>
          <wp:positionV relativeFrom="paragraph">
            <wp:posOffset>-219075</wp:posOffset>
          </wp:positionV>
          <wp:extent cx="428625" cy="603885"/>
          <wp:effectExtent l="19050" t="0" r="9525" b="0"/>
          <wp:wrapTight wrapText="bothSides">
            <wp:wrapPolygon edited="0">
              <wp:start x="-960" y="0"/>
              <wp:lineTo x="-960" y="21123"/>
              <wp:lineTo x="22080" y="21123"/>
              <wp:lineTo x="22080" y="0"/>
              <wp:lineTo x="-960"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28625" cy="603885"/>
                  </a:xfrm>
                  <a:prstGeom prst="rect">
                    <a:avLst/>
                  </a:prstGeom>
                  <a:noFill/>
                  <a:ln>
                    <a:noFill/>
                  </a:ln>
                </pic:spPr>
              </pic:pic>
            </a:graphicData>
          </a:graphic>
        </wp:anchor>
      </w:drawing>
    </w:r>
    <w:r w:rsidRPr="009954CE">
      <w:rPr>
        <w:rFonts w:ascii="Arial" w:hAnsi="Arial"/>
        <w:b/>
        <w:sz w:val="16"/>
      </w:rPr>
      <w:t>ESCUELA NAVAL ARTURO PRAT</w:t>
    </w:r>
  </w:p>
  <w:p w:rsidR="009954CE" w:rsidRDefault="009954CE">
    <w:pPr>
      <w:pStyle w:val="Encabezado"/>
      <w:pBdr>
        <w:bottom w:val="single" w:sz="6" w:space="1" w:color="auto"/>
      </w:pBdr>
      <w:rPr>
        <w:rFonts w:ascii="Arial" w:hAnsi="Arial"/>
        <w:b/>
        <w:sz w:val="16"/>
      </w:rPr>
    </w:pPr>
    <w:r w:rsidRPr="009954CE">
      <w:rPr>
        <w:rFonts w:ascii="Arial" w:hAnsi="Arial"/>
        <w:b/>
        <w:sz w:val="16"/>
      </w:rPr>
      <w:t xml:space="preserve"> HERRAMIENTAS TECNOLÓGICAS</w:t>
    </w:r>
  </w:p>
  <w:p w:rsidR="005922E6" w:rsidRPr="009954CE" w:rsidRDefault="005922E6">
    <w:pPr>
      <w:pStyle w:val="Encabezado"/>
      <w:rPr>
        <w:rFonts w:ascii="Arial" w:hAnsi="Arial"/>
        <w:b/>
        <w:sz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1C6524"/>
    <w:rsid w:val="001D1FEC"/>
    <w:rsid w:val="00202086"/>
    <w:rsid w:val="00234C19"/>
    <w:rsid w:val="00266BBE"/>
    <w:rsid w:val="00291ADE"/>
    <w:rsid w:val="002C41B6"/>
    <w:rsid w:val="002D0122"/>
    <w:rsid w:val="00393D5E"/>
    <w:rsid w:val="003A3C74"/>
    <w:rsid w:val="00446229"/>
    <w:rsid w:val="004615EB"/>
    <w:rsid w:val="0048708A"/>
    <w:rsid w:val="004A290A"/>
    <w:rsid w:val="004D2B7A"/>
    <w:rsid w:val="00523D37"/>
    <w:rsid w:val="005308DF"/>
    <w:rsid w:val="005762FB"/>
    <w:rsid w:val="005922E6"/>
    <w:rsid w:val="005D5414"/>
    <w:rsid w:val="005E6D8E"/>
    <w:rsid w:val="006464D9"/>
    <w:rsid w:val="006E7C25"/>
    <w:rsid w:val="007466DF"/>
    <w:rsid w:val="007565B2"/>
    <w:rsid w:val="0076647F"/>
    <w:rsid w:val="008377E3"/>
    <w:rsid w:val="00852329"/>
    <w:rsid w:val="008C2CC4"/>
    <w:rsid w:val="009050DF"/>
    <w:rsid w:val="00906F0B"/>
    <w:rsid w:val="0091279D"/>
    <w:rsid w:val="0093414A"/>
    <w:rsid w:val="009422B1"/>
    <w:rsid w:val="00970E36"/>
    <w:rsid w:val="009954CE"/>
    <w:rsid w:val="009F224C"/>
    <w:rsid w:val="009F40BC"/>
    <w:rsid w:val="00A0326A"/>
    <w:rsid w:val="00A26421"/>
    <w:rsid w:val="00B070FC"/>
    <w:rsid w:val="00B34DCA"/>
    <w:rsid w:val="00BD0309"/>
    <w:rsid w:val="00C458DF"/>
    <w:rsid w:val="00C64D91"/>
    <w:rsid w:val="00C8502A"/>
    <w:rsid w:val="00CD6085"/>
    <w:rsid w:val="00D60FA4"/>
    <w:rsid w:val="00D957AC"/>
    <w:rsid w:val="00DB2C05"/>
    <w:rsid w:val="00E00CB7"/>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7565B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565B2"/>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235D06"/>
    <w:rsid w:val="00235D06"/>
    <w:rsid w:val="00ED173F"/>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EA46C4C1A1948E685232B4BFDAF59D7">
    <w:name w:val="EEA46C4C1A1948E685232B4BFDAF59D7"/>
    <w:rsid w:val="00235D0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05676-A673-4D0B-BD2E-50CF30B67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2025-02-19T12:18:00Z</dcterms:created>
  <dcterms:modified xsi:type="dcterms:W3CDTF">2025-02-19T12:18:00Z</dcterms:modified>
</cp:coreProperties>
</file>