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07E" w:rsidRPr="00B4707E" w:rsidRDefault="00B4707E" w:rsidP="00B4707E">
      <w:pPr>
        <w:jc w:val="both"/>
        <w:rPr>
          <w:rFonts w:ascii="Arial" w:hAnsi="Arial" w:cs="Arial"/>
          <w:b/>
          <w:sz w:val="24"/>
          <w:szCs w:val="24"/>
          <w:lang w:val="es-CL"/>
        </w:rPr>
      </w:pPr>
      <w:r w:rsidRPr="00B4707E">
        <w:rPr>
          <w:rFonts w:ascii="Arial" w:hAnsi="Arial" w:cs="Arial"/>
          <w:b/>
          <w:sz w:val="24"/>
          <w:szCs w:val="24"/>
          <w:lang w:val="es-CL"/>
        </w:rPr>
        <w:t>Género y ejército</w:t>
      </w:r>
    </w:p>
    <w:p w:rsidR="00B4707E" w:rsidRDefault="00B4707E" w:rsidP="00B4707E">
      <w:pPr>
        <w:jc w:val="both"/>
        <w:rPr>
          <w:rFonts w:ascii="Arial" w:hAnsi="Arial" w:cs="Arial"/>
          <w:b/>
          <w:sz w:val="24"/>
          <w:szCs w:val="24"/>
          <w:lang w:val="es-CL"/>
        </w:rPr>
      </w:pPr>
      <w:r w:rsidRPr="00B4707E">
        <w:rPr>
          <w:rFonts w:ascii="Arial" w:hAnsi="Arial" w:cs="Arial"/>
          <w:b/>
          <w:sz w:val="24"/>
          <w:szCs w:val="24"/>
          <w:lang w:val="es-CL"/>
        </w:rPr>
        <w:t>Las mujeres en las fuerzas armadas de las democracias occidentales</w:t>
      </w:r>
    </w:p>
    <w:p w:rsidR="00B4707E" w:rsidRDefault="00B4707E" w:rsidP="00B4707E">
      <w:pPr>
        <w:jc w:val="both"/>
        <w:rPr>
          <w:rFonts w:ascii="Arial" w:hAnsi="Arial" w:cs="Arial"/>
          <w:b/>
          <w:sz w:val="24"/>
          <w:szCs w:val="24"/>
          <w:lang w:val="es-CL"/>
        </w:rPr>
      </w:pPr>
      <w:r>
        <w:rPr>
          <w:rFonts w:ascii="Arial" w:hAnsi="Arial" w:cs="Arial"/>
          <w:b/>
          <w:sz w:val="24"/>
          <w:szCs w:val="24"/>
          <w:lang w:val="es-CL"/>
        </w:rPr>
        <w:t xml:space="preserve">Helena </w:t>
      </w:r>
      <w:proofErr w:type="spellStart"/>
      <w:r>
        <w:rPr>
          <w:rFonts w:ascii="Arial" w:hAnsi="Arial" w:cs="Arial"/>
          <w:b/>
          <w:sz w:val="24"/>
          <w:szCs w:val="24"/>
          <w:lang w:val="es-CL"/>
        </w:rPr>
        <w:t>Carreiras</w:t>
      </w:r>
      <w:proofErr w:type="spellEnd"/>
    </w:p>
    <w:p w:rsidR="00B4707E" w:rsidRDefault="00B4707E" w:rsidP="00B4707E">
      <w:pPr>
        <w:jc w:val="both"/>
        <w:rPr>
          <w:rFonts w:ascii="Arial" w:hAnsi="Arial" w:cs="Arial"/>
          <w:b/>
          <w:sz w:val="24"/>
          <w:szCs w:val="24"/>
          <w:lang w:val="es-CL"/>
        </w:rPr>
      </w:pPr>
      <w:r>
        <w:rPr>
          <w:rFonts w:ascii="Arial" w:hAnsi="Arial" w:cs="Arial"/>
          <w:b/>
          <w:sz w:val="24"/>
          <w:szCs w:val="24"/>
          <w:lang w:val="es-CL"/>
        </w:rPr>
        <w:t xml:space="preserve">Ed. </w:t>
      </w:r>
      <w:proofErr w:type="spellStart"/>
      <w:r>
        <w:rPr>
          <w:rFonts w:ascii="Arial" w:hAnsi="Arial" w:cs="Arial"/>
          <w:b/>
          <w:sz w:val="24"/>
          <w:szCs w:val="24"/>
          <w:lang w:val="es-CL"/>
        </w:rPr>
        <w:t>Routledge</w:t>
      </w:r>
      <w:proofErr w:type="spellEnd"/>
      <w:r>
        <w:rPr>
          <w:rFonts w:ascii="Arial" w:hAnsi="Arial" w:cs="Arial"/>
          <w:b/>
          <w:sz w:val="24"/>
          <w:szCs w:val="24"/>
          <w:lang w:val="es-CL"/>
        </w:rPr>
        <w:t xml:space="preserve"> 2006</w:t>
      </w:r>
    </w:p>
    <w:p w:rsidR="00B4707E" w:rsidRDefault="00B4707E" w:rsidP="00B4707E">
      <w:pPr>
        <w:jc w:val="both"/>
        <w:rPr>
          <w:rFonts w:ascii="Arial" w:hAnsi="Arial" w:cs="Arial"/>
          <w:b/>
          <w:sz w:val="24"/>
          <w:szCs w:val="24"/>
          <w:lang w:val="es-CL"/>
        </w:rPr>
      </w:pPr>
    </w:p>
    <w:p w:rsidR="00B4707E" w:rsidRDefault="00B4707E" w:rsidP="00B4707E">
      <w:pPr>
        <w:jc w:val="both"/>
        <w:rPr>
          <w:rFonts w:ascii="Arial" w:hAnsi="Arial" w:cs="Arial"/>
          <w:b/>
          <w:sz w:val="24"/>
          <w:szCs w:val="24"/>
          <w:lang w:val="es-CL"/>
        </w:rPr>
      </w:pPr>
    </w:p>
    <w:p w:rsidR="00C53BE1" w:rsidRPr="00C53BE1" w:rsidRDefault="00C53BE1" w:rsidP="00C53BE1">
      <w:pPr>
        <w:jc w:val="both"/>
        <w:rPr>
          <w:rFonts w:ascii="Arial" w:hAnsi="Arial" w:cs="Arial"/>
          <w:b/>
          <w:sz w:val="24"/>
          <w:szCs w:val="24"/>
          <w:lang w:val="es-CL"/>
        </w:rPr>
      </w:pPr>
      <w:r w:rsidRPr="00C53BE1">
        <w:rPr>
          <w:rFonts w:ascii="Arial" w:hAnsi="Arial" w:cs="Arial"/>
          <w:b/>
          <w:sz w:val="24"/>
          <w:szCs w:val="24"/>
          <w:lang w:val="es-CL"/>
        </w:rPr>
        <w:t>Introducción</w:t>
      </w:r>
    </w:p>
    <w:p w:rsidR="00C53BE1" w:rsidRPr="00C53BE1" w:rsidRDefault="00C53BE1" w:rsidP="00C53BE1">
      <w:pPr>
        <w:jc w:val="both"/>
        <w:rPr>
          <w:rFonts w:ascii="Arial" w:hAnsi="Arial" w:cs="Arial"/>
          <w:sz w:val="24"/>
          <w:szCs w:val="24"/>
          <w:lang w:val="es-CL"/>
        </w:rPr>
      </w:pPr>
    </w:p>
    <w:p w:rsidR="00C53BE1" w:rsidRPr="00C53BE1" w:rsidRDefault="00C53BE1" w:rsidP="00C53BE1">
      <w:pPr>
        <w:jc w:val="both"/>
        <w:rPr>
          <w:rFonts w:ascii="Arial" w:hAnsi="Arial" w:cs="Arial"/>
          <w:sz w:val="24"/>
          <w:szCs w:val="24"/>
          <w:lang w:val="es-CL"/>
        </w:rPr>
      </w:pPr>
      <w:r w:rsidRPr="00C53BE1">
        <w:rPr>
          <w:rFonts w:ascii="Arial" w:hAnsi="Arial" w:cs="Arial"/>
          <w:sz w:val="24"/>
          <w:szCs w:val="24"/>
          <w:lang w:val="es-CL"/>
        </w:rPr>
        <w:t>Hasta hace muy poco, el derecho a luchar y dirigir guerras se consideraba un derecho exclusivamente masculino. En la mayoría de las sociedades, la tendencia dominante ha sido que, con excepción de las heroínas de guerra y las figuras mitológicas, las mujeres sólo han participado en combate en circunstancias excepcionales. Aunque han participado esporádicamente en conflictos militares como combatientes, normalmente al final de la guerra se ha esperado que abandonaran los roles militares y regresaran a su esfera doméstica tradicional.</w:t>
      </w:r>
    </w:p>
    <w:p w:rsidR="00C53BE1" w:rsidRPr="00C53BE1" w:rsidRDefault="00C53BE1" w:rsidP="00C53BE1">
      <w:pPr>
        <w:jc w:val="both"/>
        <w:rPr>
          <w:rFonts w:ascii="Arial" w:hAnsi="Arial" w:cs="Arial"/>
          <w:sz w:val="24"/>
          <w:szCs w:val="24"/>
          <w:lang w:val="es-CL"/>
        </w:rPr>
      </w:pPr>
      <w:r w:rsidRPr="00C53BE1">
        <w:rPr>
          <w:rFonts w:ascii="Arial" w:hAnsi="Arial" w:cs="Arial"/>
          <w:sz w:val="24"/>
          <w:szCs w:val="24"/>
          <w:lang w:val="es-CL"/>
        </w:rPr>
        <w:t xml:space="preserve">Sin embargo, en las últimas décadas, este patrón ha sufrido transformaciones considerables. Desde principios de los años setenta, la mayoría de los ejércitos occidentales comenzaron a admitir mujeres en una forma que marcó una ruptura con la tradición. </w:t>
      </w:r>
      <w:r w:rsidRPr="00C356AD">
        <w:rPr>
          <w:rFonts w:ascii="Arial" w:hAnsi="Arial" w:cs="Arial"/>
          <w:sz w:val="24"/>
          <w:szCs w:val="24"/>
          <w:highlight w:val="yellow"/>
          <w:lang w:val="es-CL"/>
        </w:rPr>
        <w:t>Contrariamente a los precedentes históricos, este llamado no se ha producido en tiempos de guerra, sino en tiempos de paz.</w:t>
      </w:r>
      <w:r w:rsidRPr="00C53BE1">
        <w:rPr>
          <w:rFonts w:ascii="Arial" w:hAnsi="Arial" w:cs="Arial"/>
          <w:sz w:val="24"/>
          <w:szCs w:val="24"/>
          <w:lang w:val="es-CL"/>
        </w:rPr>
        <w:t xml:space="preserve"> Además, desde su papel original como simples auxiliares, las mujeres han ido adquiriendo progresivamente estatus militar, han recibido una formación similar a la de los hombres y han desempeñado funciones en diversos ámbitos que no han sido tradicionalmente femeninos. A principios del siglo XXI, a pesar de la considerable heterogeneidad en materia de políticas de integración, todos los países de la Organización del Tratado del Atlántico Norte (OTAN) habían admitido y aumentado el número de mujeres en sus fuerzas armadas. Durante las últimas cuatro décadas se han eliminado diversas restricciones; se ha permitido progresivamente a las mujeres ingresar en las academias militares y se </w:t>
      </w:r>
      <w:proofErr w:type="gramStart"/>
      <w:r w:rsidRPr="00C53BE1">
        <w:rPr>
          <w:rFonts w:ascii="Arial" w:hAnsi="Arial" w:cs="Arial"/>
          <w:sz w:val="24"/>
          <w:szCs w:val="24"/>
          <w:lang w:val="es-CL"/>
        </w:rPr>
        <w:t>les</w:t>
      </w:r>
      <w:proofErr w:type="gramEnd"/>
      <w:r w:rsidRPr="00C53BE1">
        <w:rPr>
          <w:rFonts w:ascii="Arial" w:hAnsi="Arial" w:cs="Arial"/>
          <w:sz w:val="24"/>
          <w:szCs w:val="24"/>
          <w:lang w:val="es-CL"/>
        </w:rPr>
        <w:t xml:space="preserve"> ha dado acceso a una variedad más amplia de puestos y funciones. </w:t>
      </w:r>
      <w:r w:rsidRPr="00E4483B">
        <w:rPr>
          <w:rFonts w:ascii="Arial" w:hAnsi="Arial" w:cs="Arial"/>
          <w:sz w:val="24"/>
          <w:szCs w:val="24"/>
          <w:highlight w:val="yellow"/>
          <w:lang w:val="es-CL"/>
        </w:rPr>
        <w:t>En 2000, alrededor de 280.000 mujeres prestaban servicio en las fuerzas de la OTAN.</w:t>
      </w:r>
    </w:p>
    <w:p w:rsidR="00C53BE1" w:rsidRPr="00C53BE1" w:rsidRDefault="00C53BE1" w:rsidP="00C53BE1">
      <w:pPr>
        <w:jc w:val="both"/>
        <w:rPr>
          <w:rFonts w:ascii="Arial" w:hAnsi="Arial" w:cs="Arial"/>
          <w:sz w:val="24"/>
          <w:szCs w:val="24"/>
          <w:lang w:val="es-CL"/>
        </w:rPr>
      </w:pPr>
      <w:r w:rsidRPr="00EC09BB">
        <w:rPr>
          <w:rFonts w:ascii="Arial" w:hAnsi="Arial" w:cs="Arial"/>
          <w:sz w:val="24"/>
          <w:szCs w:val="24"/>
          <w:highlight w:val="yellow"/>
          <w:lang w:val="es-CL"/>
        </w:rPr>
        <w:t>Los factores que indujeron estos efectos de convergencia se derivan de algunas tendencias sociológicas globales que afectan a la mayoría de los países occidentales, si bien con ritmos y grados diversos: la creciente presión por la equidad de género y los cambios en las fuerzas armadas hacia la reducción y profesionalización de las fuerzas. El creciente número y la diversificación de los roles militares de las mujeres son a la vez un síntoma y una de las consecuencias más visibles del cambio en las fuerzas armadas.</w:t>
      </w:r>
    </w:p>
    <w:p w:rsidR="00C53BE1" w:rsidRPr="00C53BE1" w:rsidRDefault="00C53BE1" w:rsidP="00C53BE1">
      <w:pPr>
        <w:jc w:val="both"/>
        <w:rPr>
          <w:rFonts w:ascii="Arial" w:hAnsi="Arial" w:cs="Arial"/>
          <w:sz w:val="24"/>
          <w:szCs w:val="24"/>
          <w:lang w:val="es-CL"/>
        </w:rPr>
      </w:pPr>
      <w:r w:rsidRPr="00C53BE1">
        <w:rPr>
          <w:rFonts w:ascii="Arial" w:hAnsi="Arial" w:cs="Arial"/>
          <w:sz w:val="24"/>
          <w:szCs w:val="24"/>
          <w:lang w:val="es-CL"/>
        </w:rPr>
        <w:t xml:space="preserve">Sin embargo, existe el reverso de la medalla. A pesar de la tendencia mencionada anteriormente a eliminar la discriminación e igualar el estatus entre los miembros del servicio, </w:t>
      </w:r>
      <w:r w:rsidRPr="00C53BE1">
        <w:rPr>
          <w:rFonts w:ascii="Arial" w:hAnsi="Arial" w:cs="Arial"/>
          <w:sz w:val="24"/>
          <w:szCs w:val="24"/>
          <w:lang w:val="es-CL"/>
        </w:rPr>
        <w:lastRenderedPageBreak/>
        <w:t>aún existen restriccio</w:t>
      </w:r>
      <w:r w:rsidR="00737B61">
        <w:rPr>
          <w:rFonts w:ascii="Arial" w:hAnsi="Arial" w:cs="Arial"/>
          <w:sz w:val="24"/>
          <w:szCs w:val="24"/>
          <w:lang w:val="es-CL"/>
        </w:rPr>
        <w:t xml:space="preserve">nes ocupacionales y las mujeres </w:t>
      </w:r>
      <w:r w:rsidRPr="00C53BE1">
        <w:rPr>
          <w:rFonts w:ascii="Arial" w:hAnsi="Arial" w:cs="Arial"/>
          <w:sz w:val="24"/>
          <w:szCs w:val="24"/>
          <w:lang w:val="es-CL"/>
        </w:rPr>
        <w:t xml:space="preserve">están en gran medida excluidas de muchas áreas y funciones relacionadas con el combate. Tienen una representación limitada en los puestos jerárquicos superiores y en las posiciones de poder dentro del sistema militar. No siempre son aceptadas con facilidad y a menudo tienen que enfrentar reacciones hostiles. </w:t>
      </w:r>
      <w:r w:rsidRPr="00AD4239">
        <w:rPr>
          <w:rFonts w:ascii="Arial" w:hAnsi="Arial" w:cs="Arial"/>
          <w:sz w:val="24"/>
          <w:szCs w:val="24"/>
          <w:highlight w:val="yellow"/>
          <w:lang w:val="es-CL"/>
        </w:rPr>
        <w:t>Los datos empíricos muestran que incluso cuando se ha logrado la integración formal/legal, no necesariamente se ha producido una integración social efectiva (</w:t>
      </w:r>
      <w:proofErr w:type="spellStart"/>
      <w:r w:rsidRPr="00AD4239">
        <w:rPr>
          <w:rFonts w:ascii="Arial" w:hAnsi="Arial" w:cs="Arial"/>
          <w:sz w:val="24"/>
          <w:szCs w:val="24"/>
          <w:highlight w:val="yellow"/>
          <w:lang w:val="es-CL"/>
        </w:rPr>
        <w:t>Winslow</w:t>
      </w:r>
      <w:proofErr w:type="spellEnd"/>
      <w:r w:rsidRPr="00AD4239">
        <w:rPr>
          <w:rFonts w:ascii="Arial" w:hAnsi="Arial" w:cs="Arial"/>
          <w:sz w:val="24"/>
          <w:szCs w:val="24"/>
          <w:highlight w:val="yellow"/>
          <w:lang w:val="es-CL"/>
        </w:rPr>
        <w:t xml:space="preserve"> y </w:t>
      </w:r>
      <w:proofErr w:type="spellStart"/>
      <w:r w:rsidRPr="00AD4239">
        <w:rPr>
          <w:rFonts w:ascii="Arial" w:hAnsi="Arial" w:cs="Arial"/>
          <w:sz w:val="24"/>
          <w:szCs w:val="24"/>
          <w:highlight w:val="yellow"/>
          <w:lang w:val="es-CL"/>
        </w:rPr>
        <w:t>Dunn</w:t>
      </w:r>
      <w:proofErr w:type="spellEnd"/>
      <w:r w:rsidRPr="00AD4239">
        <w:rPr>
          <w:rFonts w:ascii="Arial" w:hAnsi="Arial" w:cs="Arial"/>
          <w:sz w:val="24"/>
          <w:szCs w:val="24"/>
          <w:highlight w:val="yellow"/>
          <w:lang w:val="es-CL"/>
        </w:rPr>
        <w:t xml:space="preserve"> 2002).</w:t>
      </w:r>
      <w:r w:rsidRPr="00C53BE1">
        <w:rPr>
          <w:rFonts w:ascii="Arial" w:hAnsi="Arial" w:cs="Arial"/>
          <w:sz w:val="24"/>
          <w:szCs w:val="24"/>
          <w:lang w:val="es-CL"/>
        </w:rPr>
        <w:t xml:space="preserve"> Además, los avances logrados en el pasado no siempre han seguido un patrón lineal. La participación militar de las mujeres ha estado sujeta a ciclos de expansión y contracción (</w:t>
      </w:r>
      <w:proofErr w:type="spellStart"/>
      <w:r w:rsidRPr="00C53BE1">
        <w:rPr>
          <w:rFonts w:ascii="Arial" w:hAnsi="Arial" w:cs="Arial"/>
          <w:sz w:val="24"/>
          <w:szCs w:val="24"/>
          <w:lang w:val="es-CL"/>
        </w:rPr>
        <w:t>Segal</w:t>
      </w:r>
      <w:proofErr w:type="spellEnd"/>
      <w:r w:rsidRPr="00C53BE1">
        <w:rPr>
          <w:rFonts w:ascii="Arial" w:hAnsi="Arial" w:cs="Arial"/>
          <w:sz w:val="24"/>
          <w:szCs w:val="24"/>
          <w:lang w:val="es-CL"/>
        </w:rPr>
        <w:t xml:space="preserve"> 1999) y se han observado tendencias a restablecer políticas excluyentes.</w:t>
      </w:r>
    </w:p>
    <w:p w:rsidR="00C53BE1" w:rsidRPr="00C53BE1" w:rsidRDefault="00C53BE1" w:rsidP="00C53BE1">
      <w:pPr>
        <w:jc w:val="both"/>
        <w:rPr>
          <w:rFonts w:ascii="Arial" w:hAnsi="Arial" w:cs="Arial"/>
          <w:sz w:val="24"/>
          <w:szCs w:val="24"/>
          <w:lang w:val="es-CL"/>
        </w:rPr>
      </w:pPr>
      <w:r w:rsidRPr="00C53BE1">
        <w:rPr>
          <w:rFonts w:ascii="Arial" w:hAnsi="Arial" w:cs="Arial"/>
          <w:sz w:val="24"/>
          <w:szCs w:val="24"/>
          <w:lang w:val="es-CL"/>
        </w:rPr>
        <w:t xml:space="preserve">Ante esta evidencia, surgen una serie de preguntas para las que aún no se han dado muchas respuestas: </w:t>
      </w:r>
      <w:r w:rsidRPr="00AD4239">
        <w:rPr>
          <w:rFonts w:ascii="Arial" w:hAnsi="Arial" w:cs="Arial"/>
          <w:sz w:val="24"/>
          <w:szCs w:val="24"/>
          <w:highlight w:val="yellow"/>
          <w:lang w:val="es-CL"/>
        </w:rPr>
        <w:t>¿Qué factores explican la variación en los roles militares de las mujeres? ¿Por qué algunos países han integrado a las mujeres en sus fuerzas armadas y han desarrollado políticas específicas mientras que otros solo les han otorgado una presencia residual y simbólica? ¿Cómo interactúan los factores sociales, económicos, culturales, políticos y militares para explicar estos diferentes “patrones de incorporación”?</w:t>
      </w:r>
    </w:p>
    <w:p w:rsidR="00C53BE1" w:rsidRPr="00C53BE1" w:rsidRDefault="00C53BE1" w:rsidP="00C53BE1">
      <w:pPr>
        <w:jc w:val="both"/>
        <w:rPr>
          <w:rFonts w:ascii="Arial" w:hAnsi="Arial" w:cs="Arial"/>
          <w:sz w:val="24"/>
          <w:szCs w:val="24"/>
          <w:lang w:val="es-CL"/>
        </w:rPr>
      </w:pPr>
      <w:r w:rsidRPr="00C53BE1">
        <w:rPr>
          <w:rFonts w:ascii="Arial" w:hAnsi="Arial" w:cs="Arial"/>
          <w:sz w:val="24"/>
          <w:szCs w:val="24"/>
          <w:lang w:val="es-CL"/>
        </w:rPr>
        <w:t>A pesar de la importante cantidad de literatura producida por historiadores, sociólogos, politólogos y académicos feministas, el estudio comparativo de las mujeres en el ejército es todavía un área relativamente inexplorada.</w:t>
      </w:r>
    </w:p>
    <w:p w:rsidR="00C53BE1" w:rsidRPr="00C53BE1" w:rsidRDefault="00C53BE1" w:rsidP="00C53BE1">
      <w:pPr>
        <w:jc w:val="both"/>
        <w:rPr>
          <w:rFonts w:ascii="Arial" w:hAnsi="Arial" w:cs="Arial"/>
          <w:sz w:val="24"/>
          <w:szCs w:val="24"/>
          <w:lang w:val="es-CL"/>
        </w:rPr>
      </w:pPr>
      <w:r w:rsidRPr="00C53BE1">
        <w:rPr>
          <w:rFonts w:ascii="Arial" w:hAnsi="Arial" w:cs="Arial"/>
          <w:sz w:val="24"/>
          <w:szCs w:val="24"/>
          <w:lang w:val="es-CL"/>
        </w:rPr>
        <w:t xml:space="preserve">Este libro pretende contribuir a su desarrollo centrándose en los factores que fundamentan el reclutamiento militar de las mujeres y en las políticas que se han desarrollado en los países de la OTAN con respecto a su participación en las fuerzas armadas. Se plantea tres objetivos fundamentales: (a) explorar y articular diversas perspectivas teóricas desde las que observar el tema de forma multidimensional; (b) someter a prueba empírica una variedad de hipótesis explicativas en competencia a partir de datos originales; y (c) alcanzar los objetivos anteriores mediante un enfoque metodológico en diferentes niveles analíticos, que van desde la observación de procesos </w:t>
      </w:r>
      <w:proofErr w:type="spellStart"/>
      <w:r w:rsidRPr="00C53BE1">
        <w:rPr>
          <w:rFonts w:ascii="Arial" w:hAnsi="Arial" w:cs="Arial"/>
          <w:sz w:val="24"/>
          <w:szCs w:val="24"/>
          <w:lang w:val="es-CL"/>
        </w:rPr>
        <w:t>macrosociales</w:t>
      </w:r>
      <w:proofErr w:type="spellEnd"/>
      <w:r w:rsidRPr="00C53BE1">
        <w:rPr>
          <w:rFonts w:ascii="Arial" w:hAnsi="Arial" w:cs="Arial"/>
          <w:sz w:val="24"/>
          <w:szCs w:val="24"/>
          <w:lang w:val="es-CL"/>
        </w:rPr>
        <w:t xml:space="preserve"> hasta una evaluación en profundidad de las relaciones interpersonales.</w:t>
      </w:r>
    </w:p>
    <w:p w:rsidR="00F17C99" w:rsidRDefault="00C53BE1" w:rsidP="00C53BE1">
      <w:pPr>
        <w:jc w:val="both"/>
        <w:rPr>
          <w:rFonts w:ascii="Arial" w:hAnsi="Arial" w:cs="Arial"/>
          <w:sz w:val="24"/>
          <w:szCs w:val="24"/>
          <w:lang w:val="es-CL"/>
        </w:rPr>
      </w:pPr>
      <w:r w:rsidRPr="00C53BE1">
        <w:rPr>
          <w:rFonts w:ascii="Arial" w:hAnsi="Arial" w:cs="Arial"/>
          <w:sz w:val="24"/>
          <w:szCs w:val="24"/>
          <w:lang w:val="es-CL"/>
        </w:rPr>
        <w:t xml:space="preserve">En primer lugar, desde un punto de vista teórico, el propósito es articular diferentes áreas y niveles de investigación científica. </w:t>
      </w:r>
      <w:r w:rsidRPr="00AD4239">
        <w:rPr>
          <w:rFonts w:ascii="Arial" w:hAnsi="Arial" w:cs="Arial"/>
          <w:sz w:val="24"/>
          <w:szCs w:val="24"/>
          <w:highlight w:val="yellow"/>
          <w:lang w:val="es-CL"/>
        </w:rPr>
        <w:t>La interacción de diferentes procesos y dinámicas sociales como base de la participación militar de las mujeres justifica un enfoque que considere simultáneamente la dimensión ideológica y cultural de las relaciones de género (como capa), el contexto político-institucional global de la participación social de las mujeres y la configuración estratégica y organizacional de las fuerzas armadas. El marco conceptual de la investigación combinará así elementos de una teoría global de género con el análisis organizacional, la teoría de intereses y la sociología de la participación militar.</w:t>
      </w:r>
      <w:bookmarkStart w:id="0" w:name="_GoBack"/>
      <w:bookmarkEnd w:id="0"/>
    </w:p>
    <w:p w:rsidR="00C62FB7" w:rsidRPr="00C62FB7" w:rsidRDefault="00C62FB7" w:rsidP="00C62FB7">
      <w:pPr>
        <w:jc w:val="both"/>
        <w:rPr>
          <w:rFonts w:ascii="Arial" w:hAnsi="Arial" w:cs="Arial"/>
          <w:sz w:val="24"/>
          <w:szCs w:val="24"/>
          <w:lang w:val="es-CL"/>
        </w:rPr>
      </w:pPr>
      <w:r w:rsidRPr="00C62FB7">
        <w:rPr>
          <w:rFonts w:ascii="Arial" w:hAnsi="Arial" w:cs="Arial"/>
          <w:sz w:val="24"/>
          <w:szCs w:val="24"/>
          <w:lang w:val="es-CL"/>
        </w:rPr>
        <w:t>Estos elementos en conjunto deberían contribuir a la consolidación de una teoría sistemática de los roles militares de las mujeres en distintas culturas y a lo largo del tiempo.</w:t>
      </w:r>
    </w:p>
    <w:p w:rsidR="00C62FB7" w:rsidRPr="00C62FB7" w:rsidRDefault="00C62FB7" w:rsidP="00C62FB7">
      <w:pPr>
        <w:jc w:val="both"/>
        <w:rPr>
          <w:rFonts w:ascii="Arial" w:hAnsi="Arial" w:cs="Arial"/>
          <w:sz w:val="24"/>
          <w:szCs w:val="24"/>
          <w:lang w:val="es-CL"/>
        </w:rPr>
      </w:pPr>
      <w:r w:rsidRPr="00C62FB7">
        <w:rPr>
          <w:rFonts w:ascii="Arial" w:hAnsi="Arial" w:cs="Arial"/>
          <w:sz w:val="24"/>
          <w:szCs w:val="24"/>
          <w:lang w:val="es-CL"/>
        </w:rPr>
        <w:t xml:space="preserve">En segundo lugar, a nivel empírico, el objetivo principal es poner a prueba algunas hipótesis existentes (pero aún no puestas a prueba) sobre los factores que afectan a la participación militar de las mujeres, así como investigar la solidez de algunas nuevas relaciones. Se trata de </w:t>
      </w:r>
      <w:r w:rsidRPr="00C62FB7">
        <w:rPr>
          <w:rFonts w:ascii="Arial" w:hAnsi="Arial" w:cs="Arial"/>
          <w:sz w:val="24"/>
          <w:szCs w:val="24"/>
          <w:lang w:val="es-CL"/>
        </w:rPr>
        <w:lastRenderedPageBreak/>
        <w:t>una exploración selectiva y parcial de un modelo empírico complejo, pero innovador si se compara con estudios anteriores. Esto es así no sólo porque se basa en datos originales recopilados por primera vez de manera comparativa, sino también porque se refiere a una variedad de casos empíricos: todos los países de la OTAN existentes en 2000, complementados con un estudio de caso comparativo de Portugal y los Países Bajos.</w:t>
      </w:r>
    </w:p>
    <w:p w:rsidR="00C62FB7" w:rsidRPr="00C62FB7" w:rsidRDefault="00C62FB7" w:rsidP="00C62FB7">
      <w:pPr>
        <w:jc w:val="both"/>
        <w:rPr>
          <w:rFonts w:ascii="Arial" w:hAnsi="Arial" w:cs="Arial"/>
          <w:sz w:val="24"/>
          <w:szCs w:val="24"/>
          <w:lang w:val="es-CL"/>
        </w:rPr>
      </w:pPr>
      <w:r w:rsidRPr="00C62FB7">
        <w:rPr>
          <w:rFonts w:ascii="Arial" w:hAnsi="Arial" w:cs="Arial"/>
          <w:sz w:val="24"/>
          <w:szCs w:val="24"/>
          <w:lang w:val="es-CL"/>
        </w:rPr>
        <w:t>Por último, desde una perspectiva metodológica, el libro investiga la interacción entre diferentes niveles de análisis, es decir, entre las tendencias sociales (nivel macro), los factores organizacionales (nivel meso) y las actitudes individuales (nivel micro) en la configuración de las oportunidades para las mujeres en el ejército. Además de examinar los factores sociales que influyen o condicionan la organización y las políticas militares nacionales, el objetivo aquí es también estudiar cómo estos factores estructurales y organizacionales enmarcan las trayectorias, elecciones y expectativas individuales; y, a la inversa, examinar hasta qué punto los valores y las opciones de los individuos limitan, subvierten o reproducen las políticas organizacionales.</w:t>
      </w:r>
    </w:p>
    <w:p w:rsidR="00C62FB7" w:rsidRPr="00C62FB7" w:rsidRDefault="00C62FB7" w:rsidP="00C62FB7">
      <w:pPr>
        <w:jc w:val="both"/>
        <w:rPr>
          <w:rFonts w:ascii="Arial" w:hAnsi="Arial" w:cs="Arial"/>
          <w:sz w:val="24"/>
          <w:szCs w:val="24"/>
          <w:lang w:val="es-CL"/>
        </w:rPr>
      </w:pPr>
      <w:r w:rsidRPr="00C62FB7">
        <w:rPr>
          <w:rFonts w:ascii="Arial" w:hAnsi="Arial" w:cs="Arial"/>
          <w:sz w:val="24"/>
          <w:szCs w:val="24"/>
          <w:lang w:val="es-CL"/>
        </w:rPr>
        <w:t xml:space="preserve">La estructura del libro es la siguiente: el Capítulo 1 comienza con una breve revisión de la información histórica sobre la relación de las mujeres con la guerra y las actividades militares y pasa a presentar el marco analítico global de la investigación. Después de un análisis crítico de los modelos existentes de factores que afectan los roles militares de las mujeres, especialmente el llamado modelo </w:t>
      </w:r>
      <w:proofErr w:type="spellStart"/>
      <w:r w:rsidRPr="00C62FB7">
        <w:rPr>
          <w:rFonts w:ascii="Arial" w:hAnsi="Arial" w:cs="Arial"/>
          <w:sz w:val="24"/>
          <w:szCs w:val="24"/>
          <w:lang w:val="es-CL"/>
        </w:rPr>
        <w:t>Segal</w:t>
      </w:r>
      <w:proofErr w:type="spellEnd"/>
      <w:r w:rsidRPr="00C62FB7">
        <w:rPr>
          <w:rFonts w:ascii="Arial" w:hAnsi="Arial" w:cs="Arial"/>
          <w:sz w:val="24"/>
          <w:szCs w:val="24"/>
          <w:lang w:val="es-CL"/>
        </w:rPr>
        <w:t>, se propone un esquema analítico "reorientado". Se describe el conjunto de variables dependientes e independientes y se seleccionan las hipótesis de investigación. Los Capítulos 2, 3 y 4 desarrollan el marco teórico y conceptual. En el Capítulo 2, una teoría general de las relaciones de género establece las bases para el análisis del ejército como una organización con género y "</w:t>
      </w:r>
      <w:proofErr w:type="spellStart"/>
      <w:r w:rsidRPr="00C62FB7">
        <w:rPr>
          <w:rFonts w:ascii="Arial" w:hAnsi="Arial" w:cs="Arial"/>
          <w:sz w:val="24"/>
          <w:szCs w:val="24"/>
          <w:lang w:val="es-CL"/>
        </w:rPr>
        <w:t>generizadora</w:t>
      </w:r>
      <w:proofErr w:type="spellEnd"/>
      <w:r w:rsidRPr="00C62FB7">
        <w:rPr>
          <w:rFonts w:ascii="Arial" w:hAnsi="Arial" w:cs="Arial"/>
          <w:sz w:val="24"/>
          <w:szCs w:val="24"/>
          <w:lang w:val="es-CL"/>
        </w:rPr>
        <w:t xml:space="preserve">". Se propone examinar la relación entre la </w:t>
      </w:r>
      <w:proofErr w:type="spellStart"/>
      <w:r w:rsidRPr="00C62FB7">
        <w:rPr>
          <w:rFonts w:ascii="Arial" w:hAnsi="Arial" w:cs="Arial"/>
          <w:sz w:val="24"/>
          <w:szCs w:val="24"/>
          <w:lang w:val="es-CL"/>
        </w:rPr>
        <w:t>macropolítica</w:t>
      </w:r>
      <w:proofErr w:type="spellEnd"/>
      <w:r w:rsidRPr="00C62FB7">
        <w:rPr>
          <w:rFonts w:ascii="Arial" w:hAnsi="Arial" w:cs="Arial"/>
          <w:sz w:val="24"/>
          <w:szCs w:val="24"/>
          <w:lang w:val="es-CL"/>
        </w:rPr>
        <w:t xml:space="preserve"> de género y la </w:t>
      </w:r>
      <w:proofErr w:type="spellStart"/>
      <w:r w:rsidRPr="00C62FB7">
        <w:rPr>
          <w:rFonts w:ascii="Arial" w:hAnsi="Arial" w:cs="Arial"/>
          <w:sz w:val="24"/>
          <w:szCs w:val="24"/>
          <w:lang w:val="es-CL"/>
        </w:rPr>
        <w:t>micropolítica</w:t>
      </w:r>
      <w:proofErr w:type="spellEnd"/>
      <w:r w:rsidRPr="00C62FB7">
        <w:rPr>
          <w:rFonts w:ascii="Arial" w:hAnsi="Arial" w:cs="Arial"/>
          <w:sz w:val="24"/>
          <w:szCs w:val="24"/>
          <w:lang w:val="es-CL"/>
        </w:rPr>
        <w:t xml:space="preserve"> del “régimen de género” específico de las fuerzas armadas.</w:t>
      </w:r>
    </w:p>
    <w:p w:rsidR="00C62FB7" w:rsidRPr="00C62FB7" w:rsidRDefault="00C62FB7" w:rsidP="00C62FB7">
      <w:pPr>
        <w:jc w:val="both"/>
        <w:rPr>
          <w:rFonts w:ascii="Arial" w:hAnsi="Arial" w:cs="Arial"/>
          <w:sz w:val="24"/>
          <w:szCs w:val="24"/>
          <w:lang w:val="es-CL"/>
        </w:rPr>
      </w:pPr>
      <w:r w:rsidRPr="00C62FB7">
        <w:rPr>
          <w:rFonts w:ascii="Arial" w:hAnsi="Arial" w:cs="Arial"/>
          <w:sz w:val="24"/>
          <w:szCs w:val="24"/>
          <w:lang w:val="es-CL"/>
        </w:rPr>
        <w:t>El capítulo 3 aborda el tema de investigación desde el punto de vista de los factores sociales y políticos que enmarcan la realidad y los debates en torno a la presencia de las mujeres en las fuerzas armadas. El análisis se centra en temas seleccionados: las transformaciones en la participación social de las mujeres –es decir, las que afectan su presencia en la fuerza laboral y los patrones familiares–, la constitución de “intereses de género” y la variedad de puntos de vista políticos e ideológicos en las posiciones feministas sobre la participación militar de las mujeres.</w:t>
      </w:r>
    </w:p>
    <w:p w:rsidR="00C62FB7" w:rsidRPr="00C62FB7" w:rsidRDefault="00C62FB7" w:rsidP="00C62FB7">
      <w:pPr>
        <w:jc w:val="both"/>
        <w:rPr>
          <w:rFonts w:ascii="Arial" w:hAnsi="Arial" w:cs="Arial"/>
          <w:sz w:val="24"/>
          <w:szCs w:val="24"/>
          <w:lang w:val="es-CL"/>
        </w:rPr>
      </w:pPr>
      <w:r w:rsidRPr="00C62FB7">
        <w:rPr>
          <w:rFonts w:ascii="Arial" w:hAnsi="Arial" w:cs="Arial"/>
          <w:sz w:val="24"/>
          <w:szCs w:val="24"/>
          <w:lang w:val="es-CL"/>
        </w:rPr>
        <w:t>El capítulo 4 analiza las principales transformaciones en la estructura de las organizaciones militares. Además de comparar modelos de cambio organizacional y profesional –y mostrar hasta qué punto dichas transformaciones se relacionan con el reclutamiento de mujeres–, este capítulo analiza los argumentos militares que se han utilizado para justificar la inclusión o exclusión de las mujeres de las fuerzas armadas en general y de las áreas de combate en particular. Los tres capítulos siguientes presentan los resultados empíricos de la investigación. En el capítulo 5, se lleva a cabo un análisis de “gran N” en dos pasos.</w:t>
      </w:r>
    </w:p>
    <w:p w:rsidR="00C62FB7" w:rsidRPr="00C62FB7" w:rsidRDefault="00C62FB7" w:rsidP="00C62FB7">
      <w:pPr>
        <w:jc w:val="both"/>
        <w:rPr>
          <w:rFonts w:ascii="Arial" w:hAnsi="Arial" w:cs="Arial"/>
          <w:sz w:val="24"/>
          <w:szCs w:val="24"/>
          <w:lang w:val="es-CL"/>
        </w:rPr>
      </w:pPr>
      <w:r w:rsidRPr="00C62FB7">
        <w:rPr>
          <w:rFonts w:ascii="Arial" w:hAnsi="Arial" w:cs="Arial"/>
          <w:sz w:val="24"/>
          <w:szCs w:val="24"/>
          <w:lang w:val="es-CL"/>
        </w:rPr>
        <w:t xml:space="preserve">En primer lugar, a partir de las descripciones de la situación de las mujeres militares y de las políticas existentes en cada país de la OTAN, se propone un “índice de inclusión de género” </w:t>
      </w:r>
      <w:r w:rsidRPr="00C62FB7">
        <w:rPr>
          <w:rFonts w:ascii="Arial" w:hAnsi="Arial" w:cs="Arial"/>
          <w:sz w:val="24"/>
          <w:szCs w:val="24"/>
          <w:lang w:val="es-CL"/>
        </w:rPr>
        <w:lastRenderedPageBreak/>
        <w:t xml:space="preserve">como medida para clasificar los distintos casos en términos del grado en que han integrado a las mujeres en sus fuerzas armadas. Este índice se presenta como un instrumento original para </w:t>
      </w:r>
      <w:proofErr w:type="spellStart"/>
      <w:r w:rsidRPr="00C62FB7">
        <w:rPr>
          <w:rFonts w:ascii="Arial" w:hAnsi="Arial" w:cs="Arial"/>
          <w:sz w:val="24"/>
          <w:szCs w:val="24"/>
          <w:lang w:val="es-CL"/>
        </w:rPr>
        <w:t>operacionalizar</w:t>
      </w:r>
      <w:proofErr w:type="spellEnd"/>
      <w:r w:rsidRPr="00C62FB7">
        <w:rPr>
          <w:rFonts w:ascii="Arial" w:hAnsi="Arial" w:cs="Arial"/>
          <w:sz w:val="24"/>
          <w:szCs w:val="24"/>
          <w:lang w:val="es-CL"/>
        </w:rPr>
        <w:t xml:space="preserve"> y medir la participación militar de las mujeres. En una segunda etapa, se ponen a prueba las hipótesis seleccionadas y se evalúa el impacto relativo de los factores explicativos.</w:t>
      </w:r>
    </w:p>
    <w:p w:rsidR="00C62FB7" w:rsidRDefault="00C62FB7" w:rsidP="00C62FB7">
      <w:pPr>
        <w:jc w:val="both"/>
        <w:rPr>
          <w:rFonts w:ascii="Arial" w:hAnsi="Arial" w:cs="Arial"/>
          <w:sz w:val="24"/>
          <w:szCs w:val="24"/>
          <w:lang w:val="es-CL"/>
        </w:rPr>
      </w:pPr>
      <w:r w:rsidRPr="00C62FB7">
        <w:rPr>
          <w:rFonts w:ascii="Arial" w:hAnsi="Arial" w:cs="Arial"/>
          <w:sz w:val="24"/>
          <w:szCs w:val="24"/>
          <w:lang w:val="es-CL"/>
        </w:rPr>
        <w:t>Los capítulos 6 y 7 se refieren al estudio de caso comparativo de Portugal y los Países Bajos. El enfoque de la investigación se centra ahora en los niveles analíticos organizacional e interpersonal. El capítulo 6 ofrece un análisis detallado de las principales tendencias en las sociedades holandesa y portuguesa en términos de participación social de las mujeres, las características organizativas de las fuerzas armadas y sus respectivas políticas de integración de género. A su vez, el capítulo 7 presenta los resultados de un análisis de contenido de entrevistas con oficiales hombres y mujeres en los dos países. El objetivo de este trabajo es investigar la relación entre las limitaciones estructurales y los valores y actitudes individuales, tratando de comprender hasta qué punto las relaciones interpersonales reproducen, reinterpretan o subvierten los modelos culturales dominantes y los acuerdos organizacionales en ma</w:t>
      </w:r>
      <w:r w:rsidR="00435977">
        <w:rPr>
          <w:rFonts w:ascii="Arial" w:hAnsi="Arial" w:cs="Arial"/>
          <w:sz w:val="24"/>
          <w:szCs w:val="24"/>
          <w:lang w:val="es-CL"/>
        </w:rPr>
        <w:t>teria de integración de género.</w:t>
      </w:r>
    </w:p>
    <w:p w:rsidR="00435977" w:rsidRDefault="00435977" w:rsidP="00C62FB7">
      <w:pPr>
        <w:jc w:val="both"/>
        <w:rPr>
          <w:rFonts w:ascii="Arial" w:hAnsi="Arial" w:cs="Arial"/>
          <w:sz w:val="24"/>
          <w:szCs w:val="24"/>
          <w:lang w:val="es-CL"/>
        </w:rPr>
      </w:pPr>
      <w:r w:rsidRPr="00435977">
        <w:rPr>
          <w:rFonts w:ascii="Arial" w:hAnsi="Arial" w:cs="Arial"/>
          <w:sz w:val="24"/>
          <w:szCs w:val="24"/>
          <w:lang w:val="es-CL"/>
        </w:rPr>
        <w:t>Finalmente, la conclusión revisa los principales resultados de la investigación y plantea preguntas sobre las consecuencias sociales y políticas de la participación de las mujeres en el ejército, destacando algunas de sus paradojas y explorando perspectivas de desarrollo futuro.</w:t>
      </w:r>
    </w:p>
    <w:p w:rsidR="00E91580" w:rsidRPr="00E91580" w:rsidRDefault="00E91580" w:rsidP="00C62FB7">
      <w:pPr>
        <w:jc w:val="both"/>
        <w:rPr>
          <w:rFonts w:ascii="Arial" w:hAnsi="Arial" w:cs="Arial"/>
          <w:b/>
          <w:sz w:val="24"/>
          <w:szCs w:val="24"/>
          <w:lang w:val="es-CL"/>
        </w:rPr>
      </w:pPr>
    </w:p>
    <w:p w:rsidR="00E91580" w:rsidRPr="00E91580" w:rsidRDefault="00E91580" w:rsidP="00E91580">
      <w:pPr>
        <w:jc w:val="both"/>
        <w:rPr>
          <w:rFonts w:ascii="Arial" w:hAnsi="Arial" w:cs="Arial"/>
          <w:b/>
          <w:sz w:val="24"/>
          <w:szCs w:val="24"/>
          <w:lang w:val="es-CL"/>
        </w:rPr>
      </w:pPr>
      <w:r w:rsidRPr="00E91580">
        <w:rPr>
          <w:rFonts w:ascii="Arial" w:hAnsi="Arial" w:cs="Arial"/>
          <w:b/>
          <w:sz w:val="24"/>
          <w:szCs w:val="24"/>
          <w:lang w:val="es-CL"/>
        </w:rPr>
        <w:t>Las mujeres en el ejército</w:t>
      </w:r>
    </w:p>
    <w:p w:rsidR="00E91580" w:rsidRPr="00E91580" w:rsidRDefault="00E91580" w:rsidP="00E91580">
      <w:pPr>
        <w:jc w:val="both"/>
        <w:rPr>
          <w:rFonts w:ascii="Arial" w:hAnsi="Arial" w:cs="Arial"/>
          <w:b/>
          <w:sz w:val="24"/>
          <w:szCs w:val="24"/>
          <w:lang w:val="es-CL"/>
        </w:rPr>
      </w:pPr>
      <w:r w:rsidRPr="00E91580">
        <w:rPr>
          <w:rFonts w:ascii="Arial" w:hAnsi="Arial" w:cs="Arial"/>
          <w:b/>
          <w:sz w:val="24"/>
          <w:szCs w:val="24"/>
          <w:lang w:val="es-CL"/>
        </w:rPr>
        <w:t>Una visión global</w:t>
      </w:r>
    </w:p>
    <w:p w:rsidR="00E91580" w:rsidRPr="00E91580" w:rsidRDefault="00E91580" w:rsidP="00E91580">
      <w:pPr>
        <w:jc w:val="both"/>
        <w:rPr>
          <w:rFonts w:ascii="Arial" w:hAnsi="Arial" w:cs="Arial"/>
          <w:sz w:val="24"/>
          <w:szCs w:val="24"/>
          <w:lang w:val="es-CL"/>
        </w:rPr>
      </w:pPr>
    </w:p>
    <w:p w:rsidR="00E91580" w:rsidRPr="00E91580" w:rsidRDefault="00E91580" w:rsidP="00E91580">
      <w:pPr>
        <w:jc w:val="both"/>
        <w:rPr>
          <w:rFonts w:ascii="Arial" w:hAnsi="Arial" w:cs="Arial"/>
          <w:b/>
          <w:sz w:val="24"/>
          <w:szCs w:val="24"/>
          <w:lang w:val="es-CL"/>
        </w:rPr>
      </w:pPr>
      <w:r w:rsidRPr="00E91580">
        <w:rPr>
          <w:rFonts w:ascii="Arial" w:hAnsi="Arial" w:cs="Arial"/>
          <w:b/>
          <w:sz w:val="24"/>
          <w:szCs w:val="24"/>
          <w:lang w:val="es-CL"/>
        </w:rPr>
        <w:t>Las mujeres y la guerra en perspectiva histórica</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t>La asociación de las mujeres con la paz y de los hombres con la guerra ha tenido raíces profundas en la mayoría de las culturas a lo largo de la historia. Los estereotipos de los hombres como “guerreros justos” y de las mujeres como “almas hermosas” se han utilizado para asegurar el estatus de las mujeres como no combatientes y la identidad de los hombres como guerreros (</w:t>
      </w:r>
      <w:proofErr w:type="spellStart"/>
      <w:r w:rsidRPr="00E91580">
        <w:rPr>
          <w:rFonts w:ascii="Arial" w:hAnsi="Arial" w:cs="Arial"/>
          <w:sz w:val="24"/>
          <w:szCs w:val="24"/>
          <w:lang w:val="es-CL"/>
        </w:rPr>
        <w:t>Elshtain</w:t>
      </w:r>
      <w:proofErr w:type="spellEnd"/>
      <w:r w:rsidRPr="00E91580">
        <w:rPr>
          <w:rFonts w:ascii="Arial" w:hAnsi="Arial" w:cs="Arial"/>
          <w:sz w:val="24"/>
          <w:szCs w:val="24"/>
          <w:lang w:val="es-CL"/>
        </w:rPr>
        <w:t xml:space="preserve"> 1995).1 La omnipresencia y la persistencia transcultural de esta imagen están bien documentadas y revelan hasta qué punto se han forjado las identidades masculina y femenina en torno a la cuestión de la violencia colectiva.</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t>En las sociedades occidentales contemporáneas ha habido intentos –especialmente por parte de académicos feministas, movimientos de mujeres y grupos de interés– de transformar esta asociación predominante. Estos intentos se han hecho ya sea redefiniendo lo que se cree que es una relación especial entre las mujeres y la paz o negando la especificidad de este vínculo y apoyando el acceso total de las mujeres a las organizaciones militares. En todos los casos, la red simbólica de género, paz y guerra ha estado operando en el centro de las luchas políticas sobre los roles sociales de las mujeres y las estrategias emancipadoras.</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lastRenderedPageBreak/>
        <w:t>Sin embargo, dado que la guerra generalmente se ha definido como una actividad masculina y a menudo se le asocian características masculinas altamente valoradas, la imagen de las mujeres guerreras se ha visto como inherentemente perturbadora, que implica una ruptura simbólica con el orden de género dominante basado en la separación de lo masculino y lo femenino (</w:t>
      </w:r>
      <w:proofErr w:type="spellStart"/>
      <w:r w:rsidRPr="00E91580">
        <w:rPr>
          <w:rFonts w:ascii="Arial" w:hAnsi="Arial" w:cs="Arial"/>
          <w:sz w:val="24"/>
          <w:szCs w:val="24"/>
          <w:lang w:val="es-CL"/>
        </w:rPr>
        <w:t>Macdonald</w:t>
      </w:r>
      <w:proofErr w:type="spellEnd"/>
      <w:r w:rsidRPr="00E91580">
        <w:rPr>
          <w:rFonts w:ascii="Arial" w:hAnsi="Arial" w:cs="Arial"/>
          <w:sz w:val="24"/>
          <w:szCs w:val="24"/>
          <w:lang w:val="es-CL"/>
        </w:rPr>
        <w:t xml:space="preserve"> et al. 1987; </w:t>
      </w:r>
      <w:proofErr w:type="spellStart"/>
      <w:r w:rsidRPr="00E91580">
        <w:rPr>
          <w:rFonts w:ascii="Arial" w:hAnsi="Arial" w:cs="Arial"/>
          <w:sz w:val="24"/>
          <w:szCs w:val="24"/>
          <w:lang w:val="es-CL"/>
        </w:rPr>
        <w:t>Gherardi</w:t>
      </w:r>
      <w:proofErr w:type="spellEnd"/>
      <w:r w:rsidRPr="00E91580">
        <w:rPr>
          <w:rFonts w:ascii="Arial" w:hAnsi="Arial" w:cs="Arial"/>
          <w:sz w:val="24"/>
          <w:szCs w:val="24"/>
          <w:lang w:val="es-CL"/>
        </w:rPr>
        <w:t xml:space="preserve"> 1994). Sin embargo, curiosamente, la identidad disruptiva de las mujeres combatientes se ha utilizado con frecuencia para sostener ese mismo orden hegemónico de género. El mito de las Amazonas es el mejor ejemplo de este uso instrumental de la imagen perturbadora de las mujeres “antinaturales”. Las amazonas, las guerreras arquetípicas, han sido representadas de muchas maneras diferentes: tanto como heroínas, como antinaturales, masculinas y belicistas (Kirk 1987;</w:t>
      </w:r>
      <w:r w:rsidR="004E4363">
        <w:rPr>
          <w:rFonts w:ascii="Arial" w:hAnsi="Arial" w:cs="Arial"/>
          <w:sz w:val="24"/>
          <w:szCs w:val="24"/>
          <w:lang w:val="es-CL"/>
        </w:rPr>
        <w:t xml:space="preserve"> </w:t>
      </w:r>
      <w:proofErr w:type="spellStart"/>
      <w:r w:rsidRPr="00E91580">
        <w:rPr>
          <w:rFonts w:ascii="Arial" w:hAnsi="Arial" w:cs="Arial"/>
          <w:sz w:val="24"/>
          <w:szCs w:val="24"/>
          <w:lang w:val="es-CL"/>
        </w:rPr>
        <w:t>Hardwick</w:t>
      </w:r>
      <w:proofErr w:type="spellEnd"/>
      <w:r w:rsidRPr="00E91580">
        <w:rPr>
          <w:rFonts w:ascii="Arial" w:hAnsi="Arial" w:cs="Arial"/>
          <w:sz w:val="24"/>
          <w:szCs w:val="24"/>
          <w:lang w:val="es-CL"/>
        </w:rPr>
        <w:t xml:space="preserve"> 1996), pero siempre como marginales y ambiguas en relación con los esquemas clasificatorios aceptados.</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t>Confundiendo las categorías normalmente distintas de guerreros (hombres) y mujeres, las amazonas representaban una transgresión del orden social ideal,</w:t>
      </w:r>
    </w:p>
    <w:p w:rsidR="00E91580" w:rsidRPr="00E91580" w:rsidRDefault="00E91580" w:rsidP="00E91580">
      <w:pPr>
        <w:jc w:val="both"/>
        <w:rPr>
          <w:rFonts w:ascii="Arial" w:hAnsi="Arial" w:cs="Arial"/>
          <w:sz w:val="24"/>
          <w:szCs w:val="24"/>
          <w:lang w:val="es-CL"/>
        </w:rPr>
      </w:pPr>
    </w:p>
    <w:p w:rsidR="004E4363" w:rsidRDefault="00E91580" w:rsidP="00E91580">
      <w:pPr>
        <w:jc w:val="both"/>
        <w:rPr>
          <w:rFonts w:ascii="Arial" w:hAnsi="Arial" w:cs="Arial"/>
          <w:sz w:val="24"/>
          <w:szCs w:val="24"/>
          <w:lang w:val="es-CL"/>
        </w:rPr>
      </w:pPr>
      <w:r w:rsidRPr="00E91580">
        <w:rPr>
          <w:rFonts w:ascii="Arial" w:hAnsi="Arial" w:cs="Arial"/>
          <w:sz w:val="24"/>
          <w:szCs w:val="24"/>
          <w:lang w:val="es-CL"/>
        </w:rPr>
        <w:t xml:space="preserve">definiendo así los límites de la sociedad. Se dice que las amazonas “eran lo opuesto a las mujeres atenienses ideales: no se casaban, controlaban a su propia descendencia, eran guerreras y vivían fuera, . . . en las fronteras del mundo conocido; no eran vírgenes ni estaban casadas; deseaban a los </w:t>
      </w:r>
      <w:proofErr w:type="gramStart"/>
      <w:r w:rsidRPr="00E91580">
        <w:rPr>
          <w:rFonts w:ascii="Arial" w:hAnsi="Arial" w:cs="Arial"/>
          <w:sz w:val="24"/>
          <w:szCs w:val="24"/>
          <w:lang w:val="es-CL"/>
        </w:rPr>
        <w:t>hombres</w:t>
      </w:r>
      <w:proofErr w:type="gramEnd"/>
      <w:r w:rsidRPr="00E91580">
        <w:rPr>
          <w:rFonts w:ascii="Arial" w:hAnsi="Arial" w:cs="Arial"/>
          <w:sz w:val="24"/>
          <w:szCs w:val="24"/>
          <w:lang w:val="es-CL"/>
        </w:rPr>
        <w:t xml:space="preserve"> pero no querían bebés varones” (Kirk 1987: 31). Andróginas y liminales, actuaban como una metáfora de las mujeres atenienses solteras, ya que eran asesinadas o convertidas en “mujeres adecuadas” a través del matrimonio. Por eso se ha sostenido que, al hablar de las amazonas, se define la </w:t>
      </w:r>
      <w:proofErr w:type="gramStart"/>
      <w:r w:rsidRPr="00E91580">
        <w:rPr>
          <w:rFonts w:ascii="Arial" w:hAnsi="Arial" w:cs="Arial"/>
          <w:sz w:val="24"/>
          <w:szCs w:val="24"/>
          <w:lang w:val="es-CL"/>
        </w:rPr>
        <w:t>polis griega</w:t>
      </w:r>
      <w:proofErr w:type="gramEnd"/>
      <w:r w:rsidRPr="00E91580">
        <w:rPr>
          <w:rFonts w:ascii="Arial" w:hAnsi="Arial" w:cs="Arial"/>
          <w:sz w:val="24"/>
          <w:szCs w:val="24"/>
          <w:lang w:val="es-CL"/>
        </w:rPr>
        <w:t xml:space="preserve"> masculina en términos de su opuesto (Kirk 1987: 30). Pero la mitología de las amazonas no sólo subraya la oposición de categorías duales. También supuestamente documenta la transición de un sistema de pensamiento que organizaba la experiencia de la diferencia en términos de polaridad y analogía a otro basado en un esquema jerárquico relativamente rígido (</w:t>
      </w:r>
      <w:proofErr w:type="spellStart"/>
      <w:r w:rsidRPr="00E91580">
        <w:rPr>
          <w:rFonts w:ascii="Arial" w:hAnsi="Arial" w:cs="Arial"/>
          <w:sz w:val="24"/>
          <w:szCs w:val="24"/>
          <w:lang w:val="es-CL"/>
        </w:rPr>
        <w:t>Dubois</w:t>
      </w:r>
      <w:proofErr w:type="spellEnd"/>
      <w:r w:rsidRPr="00E91580">
        <w:rPr>
          <w:rFonts w:ascii="Arial" w:hAnsi="Arial" w:cs="Arial"/>
          <w:sz w:val="24"/>
          <w:szCs w:val="24"/>
          <w:lang w:val="es-CL"/>
        </w:rPr>
        <w:t xml:space="preserve"> 1991). Según </w:t>
      </w:r>
      <w:proofErr w:type="spellStart"/>
      <w:r w:rsidRPr="00E91580">
        <w:rPr>
          <w:rFonts w:ascii="Arial" w:hAnsi="Arial" w:cs="Arial"/>
          <w:sz w:val="24"/>
          <w:szCs w:val="24"/>
          <w:lang w:val="es-CL"/>
        </w:rPr>
        <w:t>Dubois</w:t>
      </w:r>
      <w:proofErr w:type="spellEnd"/>
      <w:r w:rsidRPr="00E91580">
        <w:rPr>
          <w:rFonts w:ascii="Arial" w:hAnsi="Arial" w:cs="Arial"/>
          <w:sz w:val="24"/>
          <w:szCs w:val="24"/>
          <w:lang w:val="es-CL"/>
        </w:rPr>
        <w:t>, este esquema implicaba gradaciones de superioridad e inferioridad –griego, amo, hombre y humano en oposición y superioridad a los bárbaros, esclavos, mujeres y animales respectivamente– que han seguido influyendo en el pensamiento político occidental (</w:t>
      </w:r>
      <w:proofErr w:type="spellStart"/>
      <w:r w:rsidRPr="00E91580">
        <w:rPr>
          <w:rFonts w:ascii="Arial" w:hAnsi="Arial" w:cs="Arial"/>
          <w:sz w:val="24"/>
          <w:szCs w:val="24"/>
          <w:lang w:val="es-CL"/>
        </w:rPr>
        <w:t>Dubois</w:t>
      </w:r>
      <w:proofErr w:type="spellEnd"/>
      <w:r w:rsidRPr="00E91580">
        <w:rPr>
          <w:rFonts w:ascii="Arial" w:hAnsi="Arial" w:cs="Arial"/>
          <w:sz w:val="24"/>
          <w:szCs w:val="24"/>
          <w:lang w:val="es-CL"/>
        </w:rPr>
        <w:t xml:space="preserve"> 1991). </w:t>
      </w:r>
    </w:p>
    <w:p w:rsidR="00E91580" w:rsidRDefault="00E91580" w:rsidP="00E91580">
      <w:pPr>
        <w:jc w:val="both"/>
        <w:rPr>
          <w:rFonts w:ascii="Arial" w:hAnsi="Arial" w:cs="Arial"/>
          <w:sz w:val="24"/>
          <w:szCs w:val="24"/>
          <w:lang w:val="es-CL"/>
        </w:rPr>
      </w:pPr>
      <w:r w:rsidRPr="00E91580">
        <w:rPr>
          <w:rFonts w:ascii="Arial" w:hAnsi="Arial" w:cs="Arial"/>
          <w:sz w:val="24"/>
          <w:szCs w:val="24"/>
          <w:lang w:val="es-CL"/>
        </w:rPr>
        <w:t>Muchos otros ejemplos de mujeres guerreras lle</w:t>
      </w:r>
      <w:r w:rsidR="004E4363">
        <w:rPr>
          <w:rFonts w:ascii="Arial" w:hAnsi="Arial" w:cs="Arial"/>
          <w:sz w:val="24"/>
          <w:szCs w:val="24"/>
          <w:lang w:val="es-CL"/>
        </w:rPr>
        <w:t xml:space="preserve">nan los libros de historia. Van </w:t>
      </w:r>
      <w:r w:rsidRPr="00E91580">
        <w:rPr>
          <w:rFonts w:ascii="Arial" w:hAnsi="Arial" w:cs="Arial"/>
          <w:sz w:val="24"/>
          <w:szCs w:val="24"/>
          <w:lang w:val="es-CL"/>
        </w:rPr>
        <w:t xml:space="preserve">desde legiones de reinas guerreras como </w:t>
      </w:r>
      <w:proofErr w:type="spellStart"/>
      <w:r w:rsidRPr="00E91580">
        <w:rPr>
          <w:rFonts w:ascii="Arial" w:hAnsi="Arial" w:cs="Arial"/>
          <w:sz w:val="24"/>
          <w:szCs w:val="24"/>
          <w:lang w:val="es-CL"/>
        </w:rPr>
        <w:t>Boadicea</w:t>
      </w:r>
      <w:proofErr w:type="spellEnd"/>
      <w:r w:rsidRPr="00E91580">
        <w:rPr>
          <w:rFonts w:ascii="Arial" w:hAnsi="Arial" w:cs="Arial"/>
          <w:sz w:val="24"/>
          <w:szCs w:val="24"/>
          <w:lang w:val="es-CL"/>
        </w:rPr>
        <w:t>, la reina guerrera británica que condujo a su pueblo a la batalla contra los invasores romanos (</w:t>
      </w:r>
      <w:proofErr w:type="spellStart"/>
      <w:r w:rsidRPr="00E91580">
        <w:rPr>
          <w:rFonts w:ascii="Arial" w:hAnsi="Arial" w:cs="Arial"/>
          <w:sz w:val="24"/>
          <w:szCs w:val="24"/>
          <w:lang w:val="es-CL"/>
        </w:rPr>
        <w:t>Macdonald</w:t>
      </w:r>
      <w:proofErr w:type="spellEnd"/>
      <w:r w:rsidRPr="00E91580">
        <w:rPr>
          <w:rFonts w:ascii="Arial" w:hAnsi="Arial" w:cs="Arial"/>
          <w:sz w:val="24"/>
          <w:szCs w:val="24"/>
          <w:lang w:val="es-CL"/>
        </w:rPr>
        <w:t xml:space="preserve"> 1987), pasando por </w:t>
      </w:r>
      <w:proofErr w:type="spellStart"/>
      <w:r w:rsidRPr="00E91580">
        <w:rPr>
          <w:rFonts w:ascii="Arial" w:hAnsi="Arial" w:cs="Arial"/>
          <w:sz w:val="24"/>
          <w:szCs w:val="24"/>
          <w:lang w:val="es-CL"/>
        </w:rPr>
        <w:t>Jinga</w:t>
      </w:r>
      <w:proofErr w:type="spellEnd"/>
      <w:r w:rsidRPr="00E91580">
        <w:rPr>
          <w:rFonts w:ascii="Arial" w:hAnsi="Arial" w:cs="Arial"/>
          <w:sz w:val="24"/>
          <w:szCs w:val="24"/>
          <w:lang w:val="es-CL"/>
        </w:rPr>
        <w:t>, la majestuosa y asesina reina negra que luchó contra los portugueses en Angola en el siglo XVII (</w:t>
      </w:r>
      <w:proofErr w:type="spellStart"/>
      <w:r w:rsidRPr="00E91580">
        <w:rPr>
          <w:rFonts w:ascii="Arial" w:hAnsi="Arial" w:cs="Arial"/>
          <w:sz w:val="24"/>
          <w:szCs w:val="24"/>
          <w:lang w:val="es-CL"/>
        </w:rPr>
        <w:t>Fraser</w:t>
      </w:r>
      <w:proofErr w:type="spellEnd"/>
      <w:r w:rsidRPr="00E91580">
        <w:rPr>
          <w:rFonts w:ascii="Arial" w:hAnsi="Arial" w:cs="Arial"/>
          <w:sz w:val="24"/>
          <w:szCs w:val="24"/>
          <w:lang w:val="es-CL"/>
        </w:rPr>
        <w:t xml:space="preserve"> 1990), Jeanne </w:t>
      </w:r>
      <w:proofErr w:type="spellStart"/>
      <w:r w:rsidRPr="00E91580">
        <w:rPr>
          <w:rFonts w:ascii="Arial" w:hAnsi="Arial" w:cs="Arial"/>
          <w:sz w:val="24"/>
          <w:szCs w:val="24"/>
          <w:lang w:val="es-CL"/>
        </w:rPr>
        <w:t>d’Arc</w:t>
      </w:r>
      <w:proofErr w:type="spellEnd"/>
      <w:r w:rsidRPr="00E91580">
        <w:rPr>
          <w:rFonts w:ascii="Arial" w:hAnsi="Arial" w:cs="Arial"/>
          <w:sz w:val="24"/>
          <w:szCs w:val="24"/>
          <w:lang w:val="es-CL"/>
        </w:rPr>
        <w:t>, que ha sido retratada como una heroína, una santa y una bruja (</w:t>
      </w:r>
      <w:proofErr w:type="spellStart"/>
      <w:r w:rsidRPr="00E91580">
        <w:rPr>
          <w:rFonts w:ascii="Arial" w:hAnsi="Arial" w:cs="Arial"/>
          <w:sz w:val="24"/>
          <w:szCs w:val="24"/>
          <w:lang w:val="es-CL"/>
        </w:rPr>
        <w:t>Pernoud</w:t>
      </w:r>
      <w:proofErr w:type="spellEnd"/>
      <w:r w:rsidRPr="00E91580">
        <w:rPr>
          <w:rFonts w:ascii="Arial" w:hAnsi="Arial" w:cs="Arial"/>
          <w:sz w:val="24"/>
          <w:szCs w:val="24"/>
          <w:lang w:val="es-CL"/>
        </w:rPr>
        <w:t xml:space="preserve"> y </w:t>
      </w:r>
      <w:proofErr w:type="spellStart"/>
      <w:r w:rsidRPr="00E91580">
        <w:rPr>
          <w:rFonts w:ascii="Arial" w:hAnsi="Arial" w:cs="Arial"/>
          <w:sz w:val="24"/>
          <w:szCs w:val="24"/>
          <w:lang w:val="es-CL"/>
        </w:rPr>
        <w:t>Clin</w:t>
      </w:r>
      <w:proofErr w:type="spellEnd"/>
      <w:r w:rsidRPr="00E91580">
        <w:rPr>
          <w:rFonts w:ascii="Arial" w:hAnsi="Arial" w:cs="Arial"/>
          <w:sz w:val="24"/>
          <w:szCs w:val="24"/>
          <w:lang w:val="es-CL"/>
        </w:rPr>
        <w:t xml:space="preserve"> 1993), hasta las mujeres en los campos de batalla incas cuya participación en luchas rituales ha sido utilizada por los conquistadores españoles para subrayar el carácter primitivo de las sociedades andinas (</w:t>
      </w:r>
      <w:proofErr w:type="spellStart"/>
      <w:r w:rsidRPr="00E91580">
        <w:rPr>
          <w:rFonts w:ascii="Arial" w:hAnsi="Arial" w:cs="Arial"/>
          <w:sz w:val="24"/>
          <w:szCs w:val="24"/>
          <w:lang w:val="es-CL"/>
        </w:rPr>
        <w:t>Dransart</w:t>
      </w:r>
      <w:proofErr w:type="spellEnd"/>
      <w:r w:rsidRPr="00E91580">
        <w:rPr>
          <w:rFonts w:ascii="Arial" w:hAnsi="Arial" w:cs="Arial"/>
          <w:sz w:val="24"/>
          <w:szCs w:val="24"/>
          <w:lang w:val="es-CL"/>
        </w:rPr>
        <w:t xml:space="preserve"> 1987). Las formas paradójicas en que se ha descrito a estas figuras excepcionales y se han registrado u olvidado sus actividades muestran la importancia del papel que desempeñaron en la “articular simbólicamente” del orden social y sus valores (</w:t>
      </w:r>
      <w:proofErr w:type="spellStart"/>
      <w:r w:rsidRPr="00E91580">
        <w:rPr>
          <w:rFonts w:ascii="Arial" w:hAnsi="Arial" w:cs="Arial"/>
          <w:sz w:val="24"/>
          <w:szCs w:val="24"/>
          <w:lang w:val="es-CL"/>
        </w:rPr>
        <w:t>Macdonald</w:t>
      </w:r>
      <w:proofErr w:type="spellEnd"/>
      <w:r w:rsidRPr="00E91580">
        <w:rPr>
          <w:rFonts w:ascii="Arial" w:hAnsi="Arial" w:cs="Arial"/>
          <w:sz w:val="24"/>
          <w:szCs w:val="24"/>
          <w:lang w:val="es-CL"/>
        </w:rPr>
        <w:t xml:space="preserve"> 1987: 6).2 Sus retratos alternativos y contradictorios proporcionan un foco para el </w:t>
      </w:r>
      <w:r w:rsidRPr="00E91580">
        <w:rPr>
          <w:rFonts w:ascii="Arial" w:hAnsi="Arial" w:cs="Arial"/>
          <w:sz w:val="24"/>
          <w:szCs w:val="24"/>
          <w:lang w:val="es-CL"/>
        </w:rPr>
        <w:lastRenderedPageBreak/>
        <w:t>“comportamiento apropiado” de las mujeres y, al establecer los límites sociales de la guerra, garantizan la posibilidad de una normalización de la posguerra.</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t xml:space="preserve">Más allá de los mitos y cuentos sobre mujeres guerreras, </w:t>
      </w:r>
      <w:r w:rsidR="004E4363">
        <w:rPr>
          <w:rFonts w:ascii="Arial" w:hAnsi="Arial" w:cs="Arial"/>
          <w:sz w:val="24"/>
          <w:szCs w:val="24"/>
          <w:lang w:val="es-CL"/>
        </w:rPr>
        <w:t xml:space="preserve">la participación de las mujeres </w:t>
      </w:r>
      <w:r w:rsidRPr="00E91580">
        <w:rPr>
          <w:rFonts w:ascii="Arial" w:hAnsi="Arial" w:cs="Arial"/>
          <w:sz w:val="24"/>
          <w:szCs w:val="24"/>
          <w:lang w:val="es-CL"/>
        </w:rPr>
        <w:t xml:space="preserve">en la guerra real o su presencia en los escenarios de guerra revela un patrón histórico de exclusión y omisión. Las mujeres, como protagonistas –no como víctimas, partidarias u oponentes– han sido sistemáticamente excluidas de la guerra y las actividades de combate “regulares”. El único relato documentado exhaustivamente sobre la participación femenina en un ejército regular antes del siglo XX es el de Dahomey, un reino de África occidental de los siglos XVIII y XIX. Originalmente una guardia pretoriana que juró el celibato, los </w:t>
      </w:r>
      <w:proofErr w:type="spellStart"/>
      <w:r w:rsidRPr="00E91580">
        <w:rPr>
          <w:rFonts w:ascii="Arial" w:hAnsi="Arial" w:cs="Arial"/>
          <w:sz w:val="24"/>
          <w:szCs w:val="24"/>
          <w:lang w:val="es-CL"/>
        </w:rPr>
        <w:t>dahomeanos</w:t>
      </w:r>
      <w:proofErr w:type="spellEnd"/>
      <w:r w:rsidRPr="00E91580">
        <w:rPr>
          <w:rFonts w:ascii="Arial" w:hAnsi="Arial" w:cs="Arial"/>
          <w:sz w:val="24"/>
          <w:szCs w:val="24"/>
          <w:lang w:val="es-CL"/>
        </w:rPr>
        <w:t xml:space="preserve"> se convirtieron en una fuerza de alrededor de 6.000 mujeres guerreras y se les concedió un estatus </w:t>
      </w:r>
      <w:proofErr w:type="spellStart"/>
      <w:r w:rsidRPr="00E91580">
        <w:rPr>
          <w:rFonts w:ascii="Arial" w:hAnsi="Arial" w:cs="Arial"/>
          <w:sz w:val="24"/>
          <w:szCs w:val="24"/>
          <w:lang w:val="es-CL"/>
        </w:rPr>
        <w:t>semisagrado</w:t>
      </w:r>
      <w:proofErr w:type="spellEnd"/>
      <w:r w:rsidRPr="00E91580">
        <w:rPr>
          <w:rFonts w:ascii="Arial" w:hAnsi="Arial" w:cs="Arial"/>
          <w:sz w:val="24"/>
          <w:szCs w:val="24"/>
          <w:lang w:val="es-CL"/>
        </w:rPr>
        <w:t xml:space="preserve"> (</w:t>
      </w:r>
      <w:proofErr w:type="spellStart"/>
      <w:r w:rsidRPr="00E91580">
        <w:rPr>
          <w:rFonts w:ascii="Arial" w:hAnsi="Arial" w:cs="Arial"/>
          <w:sz w:val="24"/>
          <w:szCs w:val="24"/>
          <w:lang w:val="es-CL"/>
        </w:rPr>
        <w:t>Alpern</w:t>
      </w:r>
      <w:proofErr w:type="spellEnd"/>
      <w:r w:rsidRPr="00E91580">
        <w:rPr>
          <w:rFonts w:ascii="Arial" w:hAnsi="Arial" w:cs="Arial"/>
          <w:sz w:val="24"/>
          <w:szCs w:val="24"/>
          <w:lang w:val="es-CL"/>
        </w:rPr>
        <w:t xml:space="preserve"> 1998;</w:t>
      </w:r>
      <w:r w:rsidR="004E4363">
        <w:rPr>
          <w:rFonts w:ascii="Arial" w:hAnsi="Arial" w:cs="Arial"/>
          <w:sz w:val="24"/>
          <w:szCs w:val="24"/>
          <w:lang w:val="es-CL"/>
        </w:rPr>
        <w:t xml:space="preserve"> </w:t>
      </w:r>
      <w:proofErr w:type="spellStart"/>
      <w:r w:rsidR="004E4363">
        <w:rPr>
          <w:rFonts w:ascii="Arial" w:hAnsi="Arial" w:cs="Arial"/>
          <w:sz w:val="24"/>
          <w:szCs w:val="24"/>
          <w:lang w:val="es-CL"/>
        </w:rPr>
        <w:t>Edgerton</w:t>
      </w:r>
      <w:proofErr w:type="spellEnd"/>
      <w:r w:rsidR="004E4363">
        <w:rPr>
          <w:rFonts w:ascii="Arial" w:hAnsi="Arial" w:cs="Arial"/>
          <w:sz w:val="24"/>
          <w:szCs w:val="24"/>
          <w:lang w:val="es-CL"/>
        </w:rPr>
        <w:t xml:space="preserve"> 2000).</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t>A pesar de la intensidad de este relato, el hecho es que sigue siendo una excepción histórica. La tendencia al desarme de las mujeres se reconoce como prevaleciente en la mayoría de las sociedades. Esto explica, al menos en parte, la invisibilidad de la participación de las mujeres en el estudio histórico de las instituciones militares.3 Y, sin embargo, la presencia de las mujeres en los campos de batalla ha sido extremadamente significativa durante siglos. Según Hacker, “desde el siglo XIV hasta el XIX, si no antes, las mujeres en los ejércitos no sólo eran normales, sino vitales. Los ejércitos no podrían haber funcionado tan bien, tal vez no podrían haber funcionado en absoluto sin el servicio de las mujeres” (Hacker 1981: 644). Durante todo el período moderno temprano en Europa, las mujeres que acompañaban a los campamentos constituyeron una verdadera fuerza logística, que era esencial para la existencia misma de las formaciones militares. Al igual que los soldados en las filas, provenían de las clases sociales más bajas y la mayoría de ellas eran esposas o viudas de soldados que realizaban tareas como amas de casa, cantineras, prostitutas, enfermeras, lavanderas, cocineras e incluso soldados (Hacker 1981; Williams 1988; Leonard 1993).</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t>Los roles de las mujeres cambiaron a lo largo de este largo período y durante el siglo XVIII se impusieron diversas medidas de exclusión. El fin de las guerras napoleónicas a principios del siglo XIX, que completó un ciclo en la historia militar, trajo consigo tanto la eliminación de los últimos vestigios de los servicios de apoyo no militares como la exclusión total de las mujeres. Hacker afirma que “a medida que los ejércitos se volvieron más profesionales y burocráticos –a medida que se volvieron de hecho más exclusivamente militares– también se volvieron más exclusivamente masculinos” (Hacker 1981: 666). La nueva era industrial proporcionó a las mujeres oportunidades laborales de otro tipo. Para algunos autores esta exclusión gradual de las mujeres de los ejércitos es tan significativa como su participación anterior, ya que contribuyó a una de las características más relevantes del orden económico moderno: la separación de las esferas del trabajo y la vida familiar (</w:t>
      </w:r>
      <w:proofErr w:type="spellStart"/>
      <w:r w:rsidRPr="00E91580">
        <w:rPr>
          <w:rFonts w:ascii="Arial" w:hAnsi="Arial" w:cs="Arial"/>
          <w:sz w:val="24"/>
          <w:szCs w:val="24"/>
          <w:lang w:val="es-CL"/>
        </w:rPr>
        <w:t>Nef</w:t>
      </w:r>
      <w:proofErr w:type="spellEnd"/>
      <w:r w:rsidRPr="00E91580">
        <w:rPr>
          <w:rFonts w:ascii="Arial" w:hAnsi="Arial" w:cs="Arial"/>
          <w:sz w:val="24"/>
          <w:szCs w:val="24"/>
          <w:lang w:val="es-CL"/>
        </w:rPr>
        <w:t xml:space="preserve"> 1968: 210-11).</w:t>
      </w:r>
    </w:p>
    <w:p w:rsidR="00E91580" w:rsidRPr="00E91580" w:rsidRDefault="00E91580" w:rsidP="00E91580">
      <w:pPr>
        <w:jc w:val="both"/>
        <w:rPr>
          <w:rFonts w:ascii="Arial" w:hAnsi="Arial" w:cs="Arial"/>
          <w:sz w:val="24"/>
          <w:szCs w:val="24"/>
          <w:lang w:val="es-CL"/>
        </w:rPr>
      </w:pPr>
      <w:r w:rsidRPr="00E91580">
        <w:rPr>
          <w:rFonts w:ascii="Arial" w:hAnsi="Arial" w:cs="Arial"/>
          <w:sz w:val="24"/>
          <w:szCs w:val="24"/>
          <w:lang w:val="es-CL"/>
        </w:rPr>
        <w:t xml:space="preserve">En suma, a pesar de la importancia de los roles que desempeñaron, las mujeres tienden a “desaparecer” de los relatos históricos de las empresas militares. Como dice Hacker, “al igual que las mujeres sanadoras que habían desaparecido de la historia de la medicina o que eran recordadas sólo como brujas, las seguidoras de los campamentos de los primeros ejércitos modernos desaparecieron de la historia militar o eran recordadas sólo como prostitutas. Y así </w:t>
      </w:r>
      <w:r w:rsidRPr="00E91580">
        <w:rPr>
          <w:rFonts w:ascii="Arial" w:hAnsi="Arial" w:cs="Arial"/>
          <w:sz w:val="24"/>
          <w:szCs w:val="24"/>
          <w:lang w:val="es-CL"/>
        </w:rPr>
        <w:lastRenderedPageBreak/>
        <w:t>como la pérdida de la historia de las mujeres sanadoras hizo que el surgimiento de la enfermería profesional y de plazas limitadas para las mujeres médicas en el siglo XIX parecieran novedosas, la pérdida de las mujeres del ejército hizo que el surgimiento de la enfermería militar y la apertura de carreras restringidas para las auxiliares uniformadas parecieran algo nuevo” (Hacker 1981: 671).</w:t>
      </w:r>
    </w:p>
    <w:p w:rsidR="004E4363" w:rsidRPr="004E4363" w:rsidRDefault="00E91580" w:rsidP="004E4363">
      <w:pPr>
        <w:jc w:val="both"/>
        <w:rPr>
          <w:rFonts w:ascii="Arial" w:hAnsi="Arial" w:cs="Arial"/>
          <w:sz w:val="24"/>
          <w:szCs w:val="24"/>
          <w:lang w:val="es-CL"/>
        </w:rPr>
      </w:pPr>
      <w:r w:rsidRPr="00E91580">
        <w:rPr>
          <w:rFonts w:ascii="Arial" w:hAnsi="Arial" w:cs="Arial"/>
          <w:sz w:val="24"/>
          <w:szCs w:val="24"/>
          <w:lang w:val="es-CL"/>
        </w:rPr>
        <w:t xml:space="preserve">Sin embargo, después de la Guerra de Crimea, con Florence </w:t>
      </w:r>
      <w:proofErr w:type="spellStart"/>
      <w:r w:rsidRPr="00E91580">
        <w:rPr>
          <w:rFonts w:ascii="Arial" w:hAnsi="Arial" w:cs="Arial"/>
          <w:sz w:val="24"/>
          <w:szCs w:val="24"/>
          <w:lang w:val="es-CL"/>
        </w:rPr>
        <w:t>Nightingale</w:t>
      </w:r>
      <w:proofErr w:type="spellEnd"/>
      <w:r w:rsidRPr="00E91580">
        <w:rPr>
          <w:rFonts w:ascii="Arial" w:hAnsi="Arial" w:cs="Arial"/>
          <w:sz w:val="24"/>
          <w:szCs w:val="24"/>
          <w:lang w:val="es-CL"/>
        </w:rPr>
        <w:t xml:space="preserve"> y su cuerpo de enfermeras, hubo un nuevo tipo de relación entre las mujeres y las instituciones militares. Motivadas por sentimientos patrióticos y humanitarios, estas mujeres ahora eran reclutadas de las clases medias y su presencia en los teatros de guerra anticipó la institucionalización progresiva de los roles de apoyo femeninos durante las dos guerras mundiales. La formación en 1881 del Servicio de Enfermería del Ejército en Gran Bretaña allanó el camino para una creciente presencia de mujeres en las fuerzas armadas durante la Primera Guerra Mundial. Su presencia fue particularmente importante en Gran Bretaña y Estados Unidos. El caso de la Unión de Repúblicas Socialistas Soviéticas (URSS) fue bastante excepcional, ya que las mujeres formaron un batallón de combate exclusivamente femenino, el “Batallón de la Muerte”, bajo el mando de </w:t>
      </w:r>
      <w:proofErr w:type="spellStart"/>
      <w:r w:rsidRPr="00E91580">
        <w:rPr>
          <w:rFonts w:ascii="Arial" w:hAnsi="Arial" w:cs="Arial"/>
          <w:sz w:val="24"/>
          <w:szCs w:val="24"/>
          <w:lang w:val="es-CL"/>
        </w:rPr>
        <w:t>Mariya</w:t>
      </w:r>
      <w:proofErr w:type="spellEnd"/>
      <w:r w:rsidRPr="00E91580">
        <w:rPr>
          <w:rFonts w:ascii="Arial" w:hAnsi="Arial" w:cs="Arial"/>
          <w:sz w:val="24"/>
          <w:szCs w:val="24"/>
          <w:lang w:val="es-CL"/>
        </w:rPr>
        <w:t xml:space="preserve"> </w:t>
      </w:r>
      <w:proofErr w:type="spellStart"/>
      <w:r w:rsidRPr="00E91580">
        <w:rPr>
          <w:rFonts w:ascii="Arial" w:hAnsi="Arial" w:cs="Arial"/>
          <w:sz w:val="24"/>
          <w:szCs w:val="24"/>
          <w:lang w:val="es-CL"/>
        </w:rPr>
        <w:t>Bochkareva</w:t>
      </w:r>
      <w:proofErr w:type="spellEnd"/>
      <w:r w:rsidRPr="00E91580">
        <w:rPr>
          <w:rFonts w:ascii="Arial" w:hAnsi="Arial" w:cs="Arial"/>
          <w:sz w:val="24"/>
          <w:szCs w:val="24"/>
          <w:lang w:val="es-CL"/>
        </w:rPr>
        <w:t>. La constitución de este batallón, autorizado en 1917 por el gobierno provisional, tenía como objetivo proporcionar a los soldados un ejemplo de virtud militar para avergonzar y humillar a los desertores masculinos (</w:t>
      </w:r>
      <w:proofErr w:type="spellStart"/>
      <w:r w:rsidRPr="00E91580">
        <w:rPr>
          <w:rFonts w:ascii="Arial" w:hAnsi="Arial" w:cs="Arial"/>
          <w:sz w:val="24"/>
          <w:szCs w:val="24"/>
          <w:lang w:val="es-CL"/>
        </w:rPr>
        <w:t>Griesse</w:t>
      </w:r>
      <w:proofErr w:type="spellEnd"/>
      <w:r w:rsidRPr="00E91580">
        <w:rPr>
          <w:rFonts w:ascii="Arial" w:hAnsi="Arial" w:cs="Arial"/>
          <w:sz w:val="24"/>
          <w:szCs w:val="24"/>
          <w:lang w:val="es-CL"/>
        </w:rPr>
        <w:t xml:space="preserve"> y </w:t>
      </w:r>
      <w:proofErr w:type="spellStart"/>
      <w:r w:rsidRPr="00E91580">
        <w:rPr>
          <w:rFonts w:ascii="Arial" w:hAnsi="Arial" w:cs="Arial"/>
          <w:sz w:val="24"/>
          <w:szCs w:val="24"/>
          <w:lang w:val="es-CL"/>
        </w:rPr>
        <w:t>Stites</w:t>
      </w:r>
      <w:proofErr w:type="spellEnd"/>
      <w:r w:rsidRPr="00E91580">
        <w:rPr>
          <w:rFonts w:ascii="Arial" w:hAnsi="Arial" w:cs="Arial"/>
          <w:sz w:val="24"/>
          <w:szCs w:val="24"/>
          <w:lang w:val="es-CL"/>
        </w:rPr>
        <w:t xml:space="preserve"> 1982). Según </w:t>
      </w:r>
      <w:proofErr w:type="spellStart"/>
      <w:r w:rsidRPr="00E91580">
        <w:rPr>
          <w:rFonts w:ascii="Arial" w:hAnsi="Arial" w:cs="Arial"/>
          <w:sz w:val="24"/>
          <w:szCs w:val="24"/>
          <w:lang w:val="es-CL"/>
        </w:rPr>
        <w:t>Griesse</w:t>
      </w:r>
      <w:proofErr w:type="spellEnd"/>
      <w:r w:rsidRPr="00E91580">
        <w:rPr>
          <w:rFonts w:ascii="Arial" w:hAnsi="Arial" w:cs="Arial"/>
          <w:sz w:val="24"/>
          <w:szCs w:val="24"/>
          <w:lang w:val="es-CL"/>
        </w:rPr>
        <w:t xml:space="preserve"> y </w:t>
      </w:r>
      <w:proofErr w:type="spellStart"/>
      <w:r w:rsidRPr="00E91580">
        <w:rPr>
          <w:rFonts w:ascii="Arial" w:hAnsi="Arial" w:cs="Arial"/>
          <w:sz w:val="24"/>
          <w:szCs w:val="24"/>
          <w:lang w:val="es-CL"/>
        </w:rPr>
        <w:t>Stites</w:t>
      </w:r>
      <w:proofErr w:type="spellEnd"/>
      <w:r w:rsidRPr="00E91580">
        <w:rPr>
          <w:rFonts w:ascii="Arial" w:hAnsi="Arial" w:cs="Arial"/>
          <w:sz w:val="24"/>
          <w:szCs w:val="24"/>
          <w:lang w:val="es-CL"/>
        </w:rPr>
        <w:t>, “fue sin duda el primer caso en la historia moderna en el que se utilizaron mujeres en unidades de combate exclusivamente femeninas como modelos de valor y rendimiento militar para frenar la deserción y la confraternización con el enemigo” (</w:t>
      </w:r>
      <w:proofErr w:type="spellStart"/>
      <w:r w:rsidRPr="00E91580">
        <w:rPr>
          <w:rFonts w:ascii="Arial" w:hAnsi="Arial" w:cs="Arial"/>
          <w:sz w:val="24"/>
          <w:szCs w:val="24"/>
          <w:lang w:val="es-CL"/>
        </w:rPr>
        <w:t>Griesse</w:t>
      </w:r>
      <w:proofErr w:type="spellEnd"/>
      <w:r w:rsidRPr="00E91580">
        <w:rPr>
          <w:rFonts w:ascii="Arial" w:hAnsi="Arial" w:cs="Arial"/>
          <w:sz w:val="24"/>
          <w:szCs w:val="24"/>
          <w:lang w:val="es-CL"/>
        </w:rPr>
        <w:t xml:space="preserve"> y </w:t>
      </w:r>
      <w:proofErr w:type="spellStart"/>
      <w:r w:rsidRPr="00E91580">
        <w:rPr>
          <w:rFonts w:ascii="Arial" w:hAnsi="Arial" w:cs="Arial"/>
          <w:sz w:val="24"/>
          <w:szCs w:val="24"/>
          <w:lang w:val="es-CL"/>
        </w:rPr>
        <w:t>Stites</w:t>
      </w:r>
      <w:proofErr w:type="spellEnd"/>
      <w:r w:rsidRPr="00E91580">
        <w:rPr>
          <w:rFonts w:ascii="Arial" w:hAnsi="Arial" w:cs="Arial"/>
          <w:sz w:val="24"/>
          <w:szCs w:val="24"/>
          <w:lang w:val="es-CL"/>
        </w:rPr>
        <w:t xml:space="preserve"> 1982: 64).</w:t>
      </w:r>
      <w:r w:rsidR="004E4363">
        <w:rPr>
          <w:rFonts w:ascii="Arial" w:hAnsi="Arial" w:cs="Arial"/>
          <w:sz w:val="24"/>
          <w:szCs w:val="24"/>
          <w:lang w:val="es-CL"/>
        </w:rPr>
        <w:t xml:space="preserve"> </w:t>
      </w:r>
      <w:r w:rsidR="004E4363" w:rsidRPr="004E4363">
        <w:rPr>
          <w:rFonts w:ascii="Arial" w:hAnsi="Arial" w:cs="Arial"/>
          <w:sz w:val="24"/>
          <w:szCs w:val="24"/>
          <w:lang w:val="es-CL"/>
        </w:rPr>
        <w:t>En general, sin embargo, las mujeres han sido desmovilizadas al final del conflicto. Estos cuerpos de mujeres se reconstituyeron recién con el advenimiento de la Segunda Guerra Mundial, pero entonces en números sustancialmente mayores. Existe un amplio consenso de que este momento representó un punto de inflexión en términos de participación militar femenina (</w:t>
      </w:r>
      <w:proofErr w:type="spellStart"/>
      <w:r w:rsidR="004E4363" w:rsidRPr="004E4363">
        <w:rPr>
          <w:rFonts w:ascii="Arial" w:hAnsi="Arial" w:cs="Arial"/>
          <w:sz w:val="24"/>
          <w:szCs w:val="24"/>
          <w:lang w:val="es-CL"/>
        </w:rPr>
        <w:t>Binkin</w:t>
      </w:r>
      <w:proofErr w:type="spellEnd"/>
      <w:r w:rsidR="004E4363" w:rsidRPr="004E4363">
        <w:rPr>
          <w:rFonts w:ascii="Arial" w:hAnsi="Arial" w:cs="Arial"/>
          <w:sz w:val="24"/>
          <w:szCs w:val="24"/>
          <w:lang w:val="es-CL"/>
        </w:rPr>
        <w:t xml:space="preserve"> y Bach 1977; Goldman 1982; </w:t>
      </w:r>
      <w:proofErr w:type="spellStart"/>
      <w:r w:rsidR="004E4363" w:rsidRPr="004E4363">
        <w:rPr>
          <w:rFonts w:ascii="Arial" w:hAnsi="Arial" w:cs="Arial"/>
          <w:sz w:val="24"/>
          <w:szCs w:val="24"/>
          <w:lang w:val="es-CL"/>
        </w:rPr>
        <w:t>Reynaud</w:t>
      </w:r>
      <w:proofErr w:type="spellEnd"/>
      <w:r w:rsidR="004E4363" w:rsidRPr="004E4363">
        <w:rPr>
          <w:rFonts w:ascii="Arial" w:hAnsi="Arial" w:cs="Arial"/>
          <w:sz w:val="24"/>
          <w:szCs w:val="24"/>
          <w:lang w:val="es-CL"/>
        </w:rPr>
        <w:t xml:space="preserve"> 1988; Campbell 1990). Durante el conflicto, las mujeres tuvieron acceso a un mayor número de funciones, incluidas algunas no tradicionales como mecánica, reparación, transmisiones, radar y defensa antiaérea. Sin embargo, y significativamente desde un punto de vista simbólico, su acción en la defensa antiaérea se limitó a la preparación y control del fuego, que se les prohibió ejecutar por sí mismas (Goldman y </w:t>
      </w:r>
      <w:proofErr w:type="spellStart"/>
      <w:r w:rsidR="004E4363" w:rsidRPr="004E4363">
        <w:rPr>
          <w:rFonts w:ascii="Arial" w:hAnsi="Arial" w:cs="Arial"/>
          <w:sz w:val="24"/>
          <w:szCs w:val="24"/>
          <w:lang w:val="es-CL"/>
        </w:rPr>
        <w:t>Stites</w:t>
      </w:r>
      <w:proofErr w:type="spellEnd"/>
      <w:r w:rsidR="004E4363" w:rsidRPr="004E4363">
        <w:rPr>
          <w:rFonts w:ascii="Arial" w:hAnsi="Arial" w:cs="Arial"/>
          <w:sz w:val="24"/>
          <w:szCs w:val="24"/>
          <w:lang w:val="es-CL"/>
        </w:rPr>
        <w:t xml:space="preserve"> 1982: 30).</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Durante la guerra, unas 350.000 mujeres sirvieron en las fuerzas armadas estadounidenses y, aunque no tenían estatus militar, 800 formaron las WASP (</w:t>
      </w:r>
      <w:proofErr w:type="spellStart"/>
      <w:r w:rsidRPr="004E4363">
        <w:rPr>
          <w:rFonts w:ascii="Arial" w:hAnsi="Arial" w:cs="Arial"/>
          <w:sz w:val="24"/>
          <w:szCs w:val="24"/>
          <w:lang w:val="es-CL"/>
        </w:rPr>
        <w:t>Women’s</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Airforce</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Service</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Pilots</w:t>
      </w:r>
      <w:proofErr w:type="spellEnd"/>
      <w:r w:rsidRPr="004E4363">
        <w:rPr>
          <w:rFonts w:ascii="Arial" w:hAnsi="Arial" w:cs="Arial"/>
          <w:sz w:val="24"/>
          <w:szCs w:val="24"/>
          <w:lang w:val="es-CL"/>
        </w:rPr>
        <w:t>), pilotando todo tipo de aeronaves, incluidos aviones de combate. En Inglaterra, más de 450.000 mujeres representaban el 9,6 por ciento de la fuerza total en 1943. Este fue uno de los pocos países, junto con Alemania, la Unión Soviética y más tarde Israel, que instituyó un sistema nacional de reclutamiento femenino en tiempos de guerra. Entre 1941 y 1945, unas 125.000 mujeres inglesas fueron reclutadas para el servicio militar.</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 xml:space="preserve">Otros países como Canadá, Francia o Alemania también han utilizado mujeres en sus fuerzas armadas, pero en cantidades más limitadas. Alemania, por ejemplo, no respondió a la escasez de personal recurriendo al reclutamiento femenino a gran escala. En ambas guerras “una profunda hostilidad histórica y cultural hacia el uso de mujeres con fines militares ha dado forma </w:t>
      </w:r>
      <w:r w:rsidRPr="004E4363">
        <w:rPr>
          <w:rFonts w:ascii="Arial" w:hAnsi="Arial" w:cs="Arial"/>
          <w:sz w:val="24"/>
          <w:szCs w:val="24"/>
          <w:lang w:val="es-CL"/>
        </w:rPr>
        <w:lastRenderedPageBreak/>
        <w:t>al proceso de toma de decisiones de Alemania Occidental... El modelo alemán ha sido el de resistirse a la presencia de mujeres en las fuerzas armadas en cualquier cosa que no fuera una capacidad marginal, preferentemente civil” (Goldman 1982: 6).4</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 xml:space="preserve">En Italia, el gobierno de Mussolini creó en 1944 el </w:t>
      </w:r>
      <w:proofErr w:type="spellStart"/>
      <w:r w:rsidRPr="004E4363">
        <w:rPr>
          <w:rFonts w:ascii="Arial" w:hAnsi="Arial" w:cs="Arial"/>
          <w:sz w:val="24"/>
          <w:szCs w:val="24"/>
          <w:lang w:val="es-CL"/>
        </w:rPr>
        <w:t>Servizio</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Ausiliario</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Femminile</w:t>
      </w:r>
      <w:proofErr w:type="spellEnd"/>
      <w:r w:rsidRPr="004E4363">
        <w:rPr>
          <w:rFonts w:ascii="Arial" w:hAnsi="Arial" w:cs="Arial"/>
          <w:sz w:val="24"/>
          <w:szCs w:val="24"/>
          <w:lang w:val="es-CL"/>
        </w:rPr>
        <w:t xml:space="preserve"> (SAF), que incluía hasta 5.000 miembros. La constitución de este cuerpo exclusivamente femenino, el primero y único en la historia de las fuerzas armadas italianas, fue el resultado de un proceso de movilización espontánea, iniciado desde la base provincial del partido. Según las reglas, estas mujeres sólo podían desempeñar sus funciones en servicios de apoyo no armados. La caída del régimen fascista en abril de 1945 marcó el final de esta corta experiencia femenina en lo que se consideraría el “lado equivocado de la guerra” (Bravo 1997; </w:t>
      </w:r>
      <w:proofErr w:type="spellStart"/>
      <w:r w:rsidRPr="004E4363">
        <w:rPr>
          <w:rFonts w:ascii="Arial" w:hAnsi="Arial" w:cs="Arial"/>
          <w:sz w:val="24"/>
          <w:szCs w:val="24"/>
          <w:lang w:val="es-CL"/>
        </w:rPr>
        <w:t>Spini</w:t>
      </w:r>
      <w:proofErr w:type="spellEnd"/>
      <w:r w:rsidRPr="004E4363">
        <w:rPr>
          <w:rFonts w:ascii="Arial" w:hAnsi="Arial" w:cs="Arial"/>
          <w:sz w:val="24"/>
          <w:szCs w:val="24"/>
          <w:lang w:val="es-CL"/>
        </w:rPr>
        <w:t xml:space="preserve"> e </w:t>
      </w:r>
      <w:proofErr w:type="spellStart"/>
      <w:r w:rsidRPr="004E4363">
        <w:rPr>
          <w:rFonts w:ascii="Arial" w:hAnsi="Arial" w:cs="Arial"/>
          <w:sz w:val="24"/>
          <w:szCs w:val="24"/>
          <w:lang w:val="es-CL"/>
        </w:rPr>
        <w:t>Isman</w:t>
      </w:r>
      <w:proofErr w:type="spellEnd"/>
      <w:r w:rsidRPr="004E4363">
        <w:rPr>
          <w:rFonts w:ascii="Arial" w:hAnsi="Arial" w:cs="Arial"/>
          <w:sz w:val="24"/>
          <w:szCs w:val="24"/>
          <w:lang w:val="es-CL"/>
        </w:rPr>
        <w:t xml:space="preserve"> 1997; </w:t>
      </w:r>
      <w:proofErr w:type="spellStart"/>
      <w:r w:rsidRPr="004E4363">
        <w:rPr>
          <w:rFonts w:ascii="Arial" w:hAnsi="Arial" w:cs="Arial"/>
          <w:sz w:val="24"/>
          <w:szCs w:val="24"/>
          <w:lang w:val="es-CL"/>
        </w:rPr>
        <w:t>Viganò</w:t>
      </w:r>
      <w:proofErr w:type="spellEnd"/>
      <w:r w:rsidRPr="004E4363">
        <w:rPr>
          <w:rFonts w:ascii="Arial" w:hAnsi="Arial" w:cs="Arial"/>
          <w:sz w:val="24"/>
          <w:szCs w:val="24"/>
          <w:lang w:val="es-CL"/>
        </w:rPr>
        <w:t xml:space="preserve"> 1997).</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Como sucedió durante la Primera Guerra Mundial, la presencia de mujeres fue particularmente significativa en las fuerzas armadas de la Unión Soviética. Debido a la falta de mano de obra masculina y la prolongación del conflicto, más de 1 millón de mujeres fueron reclutadas para servir en todo tipo de funciones, incluyendo infantería, vehículos blindados, artillería y defensa antiaérea. La utilización de mujeres en combate por parte de la URSS fue, al menos hasta la Guerra del Golfo, el único ejemplo importante del uso a gran escala de mujeres en combate en una guerra internacional regular. Sin embargo, a diferencia de otros países donde, a pesar de que las mujeres fueron generalmente desmovilizadas después del final del conflicto, algunas de ellas permanecieron en las fuerzas armadas con un estatus especial en tiempos de paz, en la URSS la presencia de mujeres se volvió irrelevante.</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 xml:space="preserve">Así, con raras excepciones, durante las dos guerras mundiales las mujeres no portaron armas ni sirvieron en combate. Al final de los conflictos su presencia se volvió residual en la mayoría de los países y prevaleció la regla de exclusión. Lo mismo sucedió con la regla de omisión. Como afirma </w:t>
      </w:r>
      <w:proofErr w:type="spellStart"/>
      <w:r w:rsidRPr="004E4363">
        <w:rPr>
          <w:rFonts w:ascii="Arial" w:hAnsi="Arial" w:cs="Arial"/>
          <w:sz w:val="24"/>
          <w:szCs w:val="24"/>
          <w:lang w:val="es-CL"/>
        </w:rPr>
        <w:t>Mady</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Segal</w:t>
      </w:r>
      <w:proofErr w:type="spellEnd"/>
      <w:r w:rsidRPr="004E4363">
        <w:rPr>
          <w:rFonts w:ascii="Arial" w:hAnsi="Arial" w:cs="Arial"/>
          <w:sz w:val="24"/>
          <w:szCs w:val="24"/>
          <w:lang w:val="es-CL"/>
        </w:rPr>
        <w:t>, "lo que ha sucedido en el pasado en muchas naciones es que cuando las fuerzas armadas necesitan mujeres, se recuerda su historia militar previa para demostrar que pueden desempeñarse eficazmente en varias posiciones. “Hay un proceso de amnesia cultural en relación con las contribuciones que hicieron las mujeres durante las situaciones de emergencia, hasta que surge una nueva emergencia y entonces se redescubre la historia” (</w:t>
      </w:r>
      <w:proofErr w:type="spellStart"/>
      <w:r w:rsidRPr="004E4363">
        <w:rPr>
          <w:rFonts w:ascii="Arial" w:hAnsi="Arial" w:cs="Arial"/>
          <w:sz w:val="24"/>
          <w:szCs w:val="24"/>
          <w:lang w:val="es-CL"/>
        </w:rPr>
        <w:t>Segal</w:t>
      </w:r>
      <w:proofErr w:type="spellEnd"/>
      <w:r w:rsidRPr="004E4363">
        <w:rPr>
          <w:rFonts w:ascii="Arial" w:hAnsi="Arial" w:cs="Arial"/>
          <w:sz w:val="24"/>
          <w:szCs w:val="24"/>
          <w:lang w:val="es-CL"/>
        </w:rPr>
        <w:t xml:space="preserve"> 1993: 84).</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 xml:space="preserve">Y, sin embargo, tan clara como estos patrones de exclusión y omisión es la tendencia a incluir a las mujeres en actividades de combate siempre que las circunstancias excepcionales requieran su participación. Hay amplia evidencia histórica de que las mujeres han sido utilizadas eficazmente en el combate durante situaciones revolucionarias cuando una sociedad está atravesando cambios sociales y políticos fundamentales. Siempre que las sociedades han enfrentado riesgos para la supervivencia, las mujeres han entrado en el ámbito militar como combatientes y esta participación no solo fue bien </w:t>
      </w:r>
      <w:proofErr w:type="gramStart"/>
      <w:r w:rsidRPr="004E4363">
        <w:rPr>
          <w:rFonts w:ascii="Arial" w:hAnsi="Arial" w:cs="Arial"/>
          <w:sz w:val="24"/>
          <w:szCs w:val="24"/>
          <w:lang w:val="es-CL"/>
        </w:rPr>
        <w:t>recibida</w:t>
      </w:r>
      <w:proofErr w:type="gramEnd"/>
      <w:r w:rsidRPr="004E4363">
        <w:rPr>
          <w:rFonts w:ascii="Arial" w:hAnsi="Arial" w:cs="Arial"/>
          <w:sz w:val="24"/>
          <w:szCs w:val="24"/>
          <w:lang w:val="es-CL"/>
        </w:rPr>
        <w:t xml:space="preserve"> sino que también fue activamente solicitada. Esto ha sucedido durante los movimientos revolucionarios y las guerras de liberación nacional.5 Algunos ejemplos bien conocidos son las mujeres guerreras en América Latina, desde las guerras de independencia contra los españoles hasta las luchas políticas de fines del siglo XX (</w:t>
      </w:r>
      <w:proofErr w:type="spellStart"/>
      <w:r w:rsidRPr="004E4363">
        <w:rPr>
          <w:rFonts w:ascii="Arial" w:hAnsi="Arial" w:cs="Arial"/>
          <w:sz w:val="24"/>
          <w:szCs w:val="24"/>
          <w:lang w:val="es-CL"/>
        </w:rPr>
        <w:t>Kanogo</w:t>
      </w:r>
      <w:proofErr w:type="spellEnd"/>
      <w:r w:rsidRPr="004E4363">
        <w:rPr>
          <w:rFonts w:ascii="Arial" w:hAnsi="Arial" w:cs="Arial"/>
          <w:sz w:val="24"/>
          <w:szCs w:val="24"/>
          <w:lang w:val="es-CL"/>
        </w:rPr>
        <w:t xml:space="preserve"> 1987; </w:t>
      </w:r>
      <w:proofErr w:type="spellStart"/>
      <w:r w:rsidRPr="004E4363">
        <w:rPr>
          <w:rFonts w:ascii="Arial" w:hAnsi="Arial" w:cs="Arial"/>
          <w:sz w:val="24"/>
          <w:szCs w:val="24"/>
          <w:lang w:val="es-CL"/>
        </w:rPr>
        <w:t>Bunster</w:t>
      </w:r>
      <w:proofErr w:type="spellEnd"/>
      <w:r w:rsidRPr="004E4363">
        <w:rPr>
          <w:rFonts w:ascii="Arial" w:hAnsi="Arial" w:cs="Arial"/>
          <w:sz w:val="24"/>
          <w:szCs w:val="24"/>
          <w:lang w:val="es-CL"/>
        </w:rPr>
        <w:t xml:space="preserve"> 1988; Harris 1988), la URSS durante la revolución de 19176 </w:t>
      </w:r>
      <w:r w:rsidRPr="004E4363">
        <w:rPr>
          <w:rFonts w:ascii="Arial" w:hAnsi="Arial" w:cs="Arial"/>
          <w:sz w:val="24"/>
          <w:szCs w:val="24"/>
          <w:lang w:val="es-CL"/>
        </w:rPr>
        <w:lastRenderedPageBreak/>
        <w:t>(</w:t>
      </w:r>
      <w:proofErr w:type="spellStart"/>
      <w:r w:rsidRPr="004E4363">
        <w:rPr>
          <w:rFonts w:ascii="Arial" w:hAnsi="Arial" w:cs="Arial"/>
          <w:sz w:val="24"/>
          <w:szCs w:val="24"/>
          <w:lang w:val="es-CL"/>
        </w:rPr>
        <w:t>Griesse</w:t>
      </w:r>
      <w:proofErr w:type="spellEnd"/>
      <w:r w:rsidRPr="004E4363">
        <w:rPr>
          <w:rFonts w:ascii="Arial" w:hAnsi="Arial" w:cs="Arial"/>
          <w:sz w:val="24"/>
          <w:szCs w:val="24"/>
          <w:lang w:val="es-CL"/>
        </w:rPr>
        <w:t xml:space="preserve"> y </w:t>
      </w:r>
      <w:proofErr w:type="spellStart"/>
      <w:r w:rsidRPr="004E4363">
        <w:rPr>
          <w:rFonts w:ascii="Arial" w:hAnsi="Arial" w:cs="Arial"/>
          <w:sz w:val="24"/>
          <w:szCs w:val="24"/>
          <w:lang w:val="es-CL"/>
        </w:rPr>
        <w:t>Stites</w:t>
      </w:r>
      <w:proofErr w:type="spellEnd"/>
      <w:r w:rsidRPr="004E4363">
        <w:rPr>
          <w:rFonts w:ascii="Arial" w:hAnsi="Arial" w:cs="Arial"/>
          <w:sz w:val="24"/>
          <w:szCs w:val="24"/>
          <w:lang w:val="es-CL"/>
        </w:rPr>
        <w:t xml:space="preserve"> 1982), Yugoslavia durante la Segunda Guerra Mundial (</w:t>
      </w:r>
      <w:proofErr w:type="spellStart"/>
      <w:r w:rsidRPr="004E4363">
        <w:rPr>
          <w:rFonts w:ascii="Arial" w:hAnsi="Arial" w:cs="Arial"/>
          <w:sz w:val="24"/>
          <w:szCs w:val="24"/>
          <w:lang w:val="es-CL"/>
        </w:rPr>
        <w:t>Jancar</w:t>
      </w:r>
      <w:proofErr w:type="spellEnd"/>
      <w:r w:rsidRPr="004E4363">
        <w:rPr>
          <w:rFonts w:ascii="Arial" w:hAnsi="Arial" w:cs="Arial"/>
          <w:sz w:val="24"/>
          <w:szCs w:val="24"/>
          <w:lang w:val="es-CL"/>
        </w:rPr>
        <w:t xml:space="preserve"> 1982, 1988), los movimientos de liberación africanos (A(</w:t>
      </w:r>
      <w:proofErr w:type="spellStart"/>
      <w:r w:rsidRPr="004E4363">
        <w:rPr>
          <w:rFonts w:ascii="Arial" w:hAnsi="Arial" w:cs="Arial"/>
          <w:sz w:val="24"/>
          <w:szCs w:val="24"/>
          <w:lang w:val="es-CL"/>
        </w:rPr>
        <w:t>Amrane</w:t>
      </w:r>
      <w:proofErr w:type="spellEnd"/>
      <w:r w:rsidRPr="004E4363">
        <w:rPr>
          <w:rFonts w:ascii="Arial" w:hAnsi="Arial" w:cs="Arial"/>
          <w:sz w:val="24"/>
          <w:szCs w:val="24"/>
          <w:lang w:val="es-CL"/>
        </w:rPr>
        <w:t xml:space="preserve"> 1982; </w:t>
      </w:r>
      <w:proofErr w:type="spellStart"/>
      <w:r w:rsidRPr="004E4363">
        <w:rPr>
          <w:rFonts w:ascii="Arial" w:hAnsi="Arial" w:cs="Arial"/>
          <w:sz w:val="24"/>
          <w:szCs w:val="24"/>
          <w:lang w:val="es-CL"/>
        </w:rPr>
        <w:t>Hélie</w:t>
      </w:r>
      <w:proofErr w:type="spellEnd"/>
      <w:r w:rsidRPr="004E4363">
        <w:rPr>
          <w:rFonts w:ascii="Arial" w:hAnsi="Arial" w:cs="Arial"/>
          <w:sz w:val="24"/>
          <w:szCs w:val="24"/>
          <w:lang w:val="es-CL"/>
        </w:rPr>
        <w:t>-Lucas 1988), los diversos movimientos de resistencia en la Europa ocupada durante la Segunda Guerra Mundial –en particular en Francia, Italia,7 Polonia y la URSS (</w:t>
      </w:r>
      <w:proofErr w:type="spellStart"/>
      <w:r w:rsidRPr="004E4363">
        <w:rPr>
          <w:rFonts w:ascii="Arial" w:hAnsi="Arial" w:cs="Arial"/>
          <w:sz w:val="24"/>
          <w:szCs w:val="24"/>
          <w:lang w:val="es-CL"/>
        </w:rPr>
        <w:t>Rossiter</w:t>
      </w:r>
      <w:proofErr w:type="spellEnd"/>
      <w:r w:rsidRPr="004E4363">
        <w:rPr>
          <w:rFonts w:ascii="Arial" w:hAnsi="Arial" w:cs="Arial"/>
          <w:sz w:val="24"/>
          <w:szCs w:val="24"/>
          <w:lang w:val="es-CL"/>
        </w:rPr>
        <w:t xml:space="preserve"> 1986; Bravo 1997; </w:t>
      </w:r>
      <w:proofErr w:type="spellStart"/>
      <w:r w:rsidRPr="004E4363">
        <w:rPr>
          <w:rFonts w:ascii="Arial" w:hAnsi="Arial" w:cs="Arial"/>
          <w:sz w:val="24"/>
          <w:szCs w:val="24"/>
          <w:lang w:val="es-CL"/>
        </w:rPr>
        <w:t>Spini</w:t>
      </w:r>
      <w:proofErr w:type="spellEnd"/>
      <w:r w:rsidRPr="004E4363">
        <w:rPr>
          <w:rFonts w:ascii="Arial" w:hAnsi="Arial" w:cs="Arial"/>
          <w:sz w:val="24"/>
          <w:szCs w:val="24"/>
          <w:lang w:val="es-CL"/>
        </w:rPr>
        <w:t xml:space="preserve"> e </w:t>
      </w:r>
      <w:proofErr w:type="spellStart"/>
      <w:r w:rsidRPr="004E4363">
        <w:rPr>
          <w:rFonts w:ascii="Arial" w:hAnsi="Arial" w:cs="Arial"/>
          <w:sz w:val="24"/>
          <w:szCs w:val="24"/>
          <w:lang w:val="es-CL"/>
        </w:rPr>
        <w:t>Ismani</w:t>
      </w:r>
      <w:proofErr w:type="spellEnd"/>
      <w:r w:rsidRPr="004E4363">
        <w:rPr>
          <w:rFonts w:ascii="Arial" w:hAnsi="Arial" w:cs="Arial"/>
          <w:sz w:val="24"/>
          <w:szCs w:val="24"/>
          <w:lang w:val="es-CL"/>
        </w:rPr>
        <w:t xml:space="preserve"> 1997), y los combatientes israelíes durante la guerra de la independencia (</w:t>
      </w:r>
      <w:proofErr w:type="spellStart"/>
      <w:r w:rsidRPr="004E4363">
        <w:rPr>
          <w:rFonts w:ascii="Arial" w:hAnsi="Arial" w:cs="Arial"/>
          <w:sz w:val="24"/>
          <w:szCs w:val="24"/>
          <w:lang w:val="es-CL"/>
        </w:rPr>
        <w:t>Yuval</w:t>
      </w:r>
      <w:proofErr w:type="spellEnd"/>
      <w:r w:rsidRPr="004E4363">
        <w:rPr>
          <w:rFonts w:ascii="Arial" w:hAnsi="Arial" w:cs="Arial"/>
          <w:sz w:val="24"/>
          <w:szCs w:val="24"/>
          <w:lang w:val="es-CL"/>
        </w:rPr>
        <w:t>-Davis 1981; Bloom 1982).</w:t>
      </w:r>
    </w:p>
    <w:p w:rsidR="004E4363" w:rsidRPr="004E4363" w:rsidRDefault="004E4363" w:rsidP="004E4363">
      <w:pPr>
        <w:jc w:val="both"/>
        <w:rPr>
          <w:rFonts w:ascii="Arial" w:hAnsi="Arial" w:cs="Arial"/>
          <w:sz w:val="24"/>
          <w:szCs w:val="24"/>
          <w:lang w:val="es-CL"/>
        </w:rPr>
      </w:pP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Todos estos casos muestran que “cuando la guerra se introduce en la sociedad –como en el caso de la invasión y el colonialismo– puede resultar muy difícil mantener el orden social tradicional, y las fronteras, como las de género, pueden fácilmente derrumbarse” (</w:t>
      </w:r>
      <w:proofErr w:type="spellStart"/>
      <w:r w:rsidRPr="004E4363">
        <w:rPr>
          <w:rFonts w:ascii="Arial" w:hAnsi="Arial" w:cs="Arial"/>
          <w:sz w:val="24"/>
          <w:szCs w:val="24"/>
          <w:lang w:val="es-CL"/>
        </w:rPr>
        <w:t>Macdonald</w:t>
      </w:r>
      <w:proofErr w:type="spellEnd"/>
      <w:r w:rsidRPr="004E4363">
        <w:rPr>
          <w:rFonts w:ascii="Arial" w:hAnsi="Arial" w:cs="Arial"/>
          <w:sz w:val="24"/>
          <w:szCs w:val="24"/>
          <w:lang w:val="es-CL"/>
        </w:rPr>
        <w:t xml:space="preserve"> 1987: 9). Sin embargo, existe un gran debate sobre si la eliminación de las definiciones convencionales de los roles masculino y femenino en tiempos de guerra representa cambios estructurales o más bien coyunturales. En otras palabras, el debate es sobre si las fronteras de género realmente experimentan una reconfiguración fundamental o sólo quedan “suspendidas” temporalmente. Este debate se aplica tanto a la participación de las mujeres en la guerra partisana irregular, la resistencia y los movimientos de liberación, como a la situación de las mujeres durante las guerras mundiales.</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Una idea común es que las guerras mundiales han sido puntos de inflexión para las mujeres. Esta visión destaca las nuevas oportunidades que se abrieron para ellas durante la guerra: empleos cualificados en la industria pesada, nuevos puestos en las burocracias gubernamentales, las instituciones educativas y las fuerzas armadas, así como la oportunidad de demostrar sus capacidades, habilidades y poder. En ambas guerras mundiales, las mujeres obtuvieron independencia económica y los cambios constitucionales de posguerra les dieron el derecho a votar. Las mujeres recibieron la ciudadanía formal en Inglaterra, Estados Unidos y Alemania después de la Primera Guerra Mundial y en Italia y Francia después de la Segunda Guerra Mundial.8</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Para algunas, estos cambios fueron irrevocables y fundamentales (Chafe 1972); Otros creen que tuvieron un carácter ilusorio y que las mujeres cambiaron sus roles “sólo mientras duraron” los conflictos (</w:t>
      </w:r>
      <w:proofErr w:type="spellStart"/>
      <w:r w:rsidRPr="004E4363">
        <w:rPr>
          <w:rFonts w:ascii="Arial" w:hAnsi="Arial" w:cs="Arial"/>
          <w:sz w:val="24"/>
          <w:szCs w:val="24"/>
          <w:lang w:val="es-CL"/>
        </w:rPr>
        <w:t>Milkman</w:t>
      </w:r>
      <w:proofErr w:type="spellEnd"/>
      <w:r w:rsidRPr="004E4363">
        <w:rPr>
          <w:rFonts w:ascii="Arial" w:hAnsi="Arial" w:cs="Arial"/>
          <w:sz w:val="24"/>
          <w:szCs w:val="24"/>
          <w:lang w:val="es-CL"/>
        </w:rPr>
        <w:t xml:space="preserve"> 1986; </w:t>
      </w:r>
      <w:proofErr w:type="spellStart"/>
      <w:r w:rsidRPr="004E4363">
        <w:rPr>
          <w:rFonts w:ascii="Arial" w:hAnsi="Arial" w:cs="Arial"/>
          <w:sz w:val="24"/>
          <w:szCs w:val="24"/>
          <w:lang w:val="es-CL"/>
        </w:rPr>
        <w:t>Higonnet</w:t>
      </w:r>
      <w:proofErr w:type="spellEnd"/>
      <w:r w:rsidRPr="004E4363">
        <w:rPr>
          <w:rFonts w:ascii="Arial" w:hAnsi="Arial" w:cs="Arial"/>
          <w:sz w:val="24"/>
          <w:szCs w:val="24"/>
          <w:lang w:val="es-CL"/>
        </w:rPr>
        <w:t xml:space="preserve"> y </w:t>
      </w:r>
      <w:proofErr w:type="spellStart"/>
      <w:r w:rsidRPr="004E4363">
        <w:rPr>
          <w:rFonts w:ascii="Arial" w:hAnsi="Arial" w:cs="Arial"/>
          <w:sz w:val="24"/>
          <w:szCs w:val="24"/>
          <w:lang w:val="es-CL"/>
        </w:rPr>
        <w:t>Higonnet</w:t>
      </w:r>
      <w:proofErr w:type="spellEnd"/>
      <w:r w:rsidRPr="004E4363">
        <w:rPr>
          <w:rFonts w:ascii="Arial" w:hAnsi="Arial" w:cs="Arial"/>
          <w:sz w:val="24"/>
          <w:szCs w:val="24"/>
          <w:lang w:val="es-CL"/>
        </w:rPr>
        <w:t xml:space="preserve"> 1987).9 Aunque muchos historiadores coinciden en que las dos guerras mundiales tuvieron un efecto igualador en las sociedades de las naciones beligerantes, algunos han demostrado que los hombres y las mujeres se beneficiaron de manera desigual y que en la guerra, así como en la paz, hubo marcadas diferencias en las actividades y el estatus de hombres y mujeres (</w:t>
      </w:r>
      <w:proofErr w:type="spellStart"/>
      <w:r w:rsidRPr="004E4363">
        <w:rPr>
          <w:rFonts w:ascii="Arial" w:hAnsi="Arial" w:cs="Arial"/>
          <w:sz w:val="24"/>
          <w:szCs w:val="24"/>
          <w:lang w:val="es-CL"/>
        </w:rPr>
        <w:t>Higonnet</w:t>
      </w:r>
      <w:proofErr w:type="spellEnd"/>
      <w:r w:rsidRPr="004E4363">
        <w:rPr>
          <w:rFonts w:ascii="Arial" w:hAnsi="Arial" w:cs="Arial"/>
          <w:sz w:val="24"/>
          <w:szCs w:val="24"/>
          <w:lang w:val="es-CL"/>
        </w:rPr>
        <w:t xml:space="preserve"> et al. 1987). Subrayan el hecho de que, si bien la situación de las mujeres cambió, se mantuvieron las relaciones de dominación y subordinación. Por ejemplo, en </w:t>
      </w:r>
      <w:proofErr w:type="spellStart"/>
      <w:r w:rsidRPr="004E4363">
        <w:rPr>
          <w:rFonts w:ascii="Arial" w:hAnsi="Arial" w:cs="Arial"/>
          <w:sz w:val="24"/>
          <w:szCs w:val="24"/>
          <w:lang w:val="es-CL"/>
        </w:rPr>
        <w:t>Mobilizing</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Women</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for</w:t>
      </w:r>
      <w:proofErr w:type="spellEnd"/>
      <w:r w:rsidRPr="004E4363">
        <w:rPr>
          <w:rFonts w:ascii="Arial" w:hAnsi="Arial" w:cs="Arial"/>
          <w:sz w:val="24"/>
          <w:szCs w:val="24"/>
          <w:lang w:val="es-CL"/>
        </w:rPr>
        <w:t xml:space="preserve"> </w:t>
      </w:r>
      <w:proofErr w:type="spellStart"/>
      <w:r w:rsidRPr="004E4363">
        <w:rPr>
          <w:rFonts w:ascii="Arial" w:hAnsi="Arial" w:cs="Arial"/>
          <w:sz w:val="24"/>
          <w:szCs w:val="24"/>
          <w:lang w:val="es-CL"/>
        </w:rPr>
        <w:t>War</w:t>
      </w:r>
      <w:proofErr w:type="spellEnd"/>
      <w:r w:rsidRPr="004E4363">
        <w:rPr>
          <w:rFonts w:ascii="Arial" w:hAnsi="Arial" w:cs="Arial"/>
          <w:sz w:val="24"/>
          <w:szCs w:val="24"/>
          <w:lang w:val="es-CL"/>
        </w:rPr>
        <w:t xml:space="preserve">, Leila </w:t>
      </w:r>
      <w:proofErr w:type="spellStart"/>
      <w:r w:rsidRPr="004E4363">
        <w:rPr>
          <w:rFonts w:ascii="Arial" w:hAnsi="Arial" w:cs="Arial"/>
          <w:sz w:val="24"/>
          <w:szCs w:val="24"/>
          <w:lang w:val="es-CL"/>
        </w:rPr>
        <w:t>Rupp</w:t>
      </w:r>
      <w:proofErr w:type="spellEnd"/>
      <w:r w:rsidRPr="004E4363">
        <w:rPr>
          <w:rFonts w:ascii="Arial" w:hAnsi="Arial" w:cs="Arial"/>
          <w:sz w:val="24"/>
          <w:szCs w:val="24"/>
          <w:lang w:val="es-CL"/>
        </w:rPr>
        <w:t xml:space="preserve"> sostiene que ni la madre nazi que fabricaba municiones para su hijo ni la estadounidense </w:t>
      </w:r>
      <w:proofErr w:type="spellStart"/>
      <w:r w:rsidRPr="004E4363">
        <w:rPr>
          <w:rFonts w:ascii="Arial" w:hAnsi="Arial" w:cs="Arial"/>
          <w:sz w:val="24"/>
          <w:szCs w:val="24"/>
          <w:lang w:val="es-CL"/>
        </w:rPr>
        <w:t>Rosie</w:t>
      </w:r>
      <w:proofErr w:type="spellEnd"/>
      <w:r w:rsidRPr="004E4363">
        <w:rPr>
          <w:rFonts w:ascii="Arial" w:hAnsi="Arial" w:cs="Arial"/>
          <w:sz w:val="24"/>
          <w:szCs w:val="24"/>
          <w:lang w:val="es-CL"/>
        </w:rPr>
        <w:t xml:space="preserve"> la remachadora tuvieron un impacto significativo en el estatus económico de las mujeres o en las creencias básicas del público sobre la naturaleza de las mujeres en cualquiera de las sociedades respectivamente (</w:t>
      </w:r>
      <w:proofErr w:type="spellStart"/>
      <w:r w:rsidRPr="004E4363">
        <w:rPr>
          <w:rFonts w:ascii="Arial" w:hAnsi="Arial" w:cs="Arial"/>
          <w:sz w:val="24"/>
          <w:szCs w:val="24"/>
          <w:lang w:val="es-CL"/>
        </w:rPr>
        <w:t>Rupp</w:t>
      </w:r>
      <w:proofErr w:type="spellEnd"/>
      <w:r w:rsidRPr="004E4363">
        <w:rPr>
          <w:rFonts w:ascii="Arial" w:hAnsi="Arial" w:cs="Arial"/>
          <w:sz w:val="24"/>
          <w:szCs w:val="24"/>
          <w:lang w:val="es-CL"/>
        </w:rPr>
        <w:t xml:space="preserve"> 1978). </w:t>
      </w:r>
      <w:proofErr w:type="spellStart"/>
      <w:r w:rsidRPr="004E4363">
        <w:rPr>
          <w:rFonts w:ascii="Arial" w:hAnsi="Arial" w:cs="Arial"/>
          <w:sz w:val="24"/>
          <w:szCs w:val="24"/>
          <w:lang w:val="es-CL"/>
        </w:rPr>
        <w:t>D’Ann</w:t>
      </w:r>
      <w:proofErr w:type="spellEnd"/>
      <w:r w:rsidRPr="004E4363">
        <w:rPr>
          <w:rFonts w:ascii="Arial" w:hAnsi="Arial" w:cs="Arial"/>
          <w:sz w:val="24"/>
          <w:szCs w:val="24"/>
          <w:lang w:val="es-CL"/>
        </w:rPr>
        <w:t xml:space="preserve"> Campbell ha ido aún más lejos, sosteniendo que durante la Segunda Guerra Mundial las mujeres –amas de casa y trabajadoras </w:t>
      </w:r>
      <w:r w:rsidRPr="004E4363">
        <w:rPr>
          <w:rFonts w:ascii="Arial" w:hAnsi="Arial" w:cs="Arial"/>
          <w:sz w:val="24"/>
          <w:szCs w:val="24"/>
          <w:lang w:val="es-CL"/>
        </w:rPr>
        <w:lastRenderedPageBreak/>
        <w:t>desmovilizadas por igual– anticiparon y ayudaron a promulgar el ideal dominante de la domesticidad de posguerra (Campbell 1985).</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La ​​cuestión central aquí es, por lo tanto, entender por qué “la adquisición del voto</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o la aceptación de un nuevo empleo no se tradujo fácilmente en poder social y político, y las mujeres en todas partes sufrieron los efectos de la reacción de género de posguerra”, o por qué no surgieron movimientos feministas de masas para preservar las ganancias de las mujeres en tiempos de guerra (</w:t>
      </w:r>
      <w:proofErr w:type="spellStart"/>
      <w:r w:rsidRPr="004E4363">
        <w:rPr>
          <w:rFonts w:ascii="Arial" w:hAnsi="Arial" w:cs="Arial"/>
          <w:sz w:val="24"/>
          <w:szCs w:val="24"/>
          <w:lang w:val="es-CL"/>
        </w:rPr>
        <w:t>Higonnet</w:t>
      </w:r>
      <w:proofErr w:type="spellEnd"/>
      <w:r w:rsidRPr="004E4363">
        <w:rPr>
          <w:rFonts w:ascii="Arial" w:hAnsi="Arial" w:cs="Arial"/>
          <w:sz w:val="24"/>
          <w:szCs w:val="24"/>
          <w:lang w:val="es-CL"/>
        </w:rPr>
        <w:t xml:space="preserve"> et al. 1987: 6-7). Algunos han propuesto que la respuesta se encuentra en el contenido de los discursos ideológicos sobre los cambios objetivos, que sistemáticamente dieron</w:t>
      </w:r>
    </w:p>
    <w:p w:rsidR="004E4363" w:rsidRPr="004E4363" w:rsidRDefault="004E4363" w:rsidP="004E4363">
      <w:pPr>
        <w:jc w:val="both"/>
        <w:rPr>
          <w:rFonts w:ascii="Arial" w:hAnsi="Arial" w:cs="Arial"/>
          <w:sz w:val="24"/>
          <w:szCs w:val="24"/>
          <w:lang w:val="es-CL"/>
        </w:rPr>
      </w:pP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significado a las nuevas actividades de las mujeres de maneras que limitaron su potencial para transformar las relaciones de género: “aunque la propaganda de tiempos de guerra exhortaba a las mujeres a afrontar trabajos desconocidos, estos llamamientos estaban contenidos dentro de un discurso nacionalista y militarista que reforzaba las nociones patriarcales y organistas de las relaciones de género. Se estipuló que los nuevos roles de las mujeres eran sólo para la duración y que las esposas y madres debían hacer sacrificios heroicos ‘por la nación en este tiempo de necesidad’” (</w:t>
      </w:r>
      <w:proofErr w:type="spellStart"/>
      <w:r w:rsidRPr="004E4363">
        <w:rPr>
          <w:rFonts w:ascii="Arial" w:hAnsi="Arial" w:cs="Arial"/>
          <w:sz w:val="24"/>
          <w:szCs w:val="24"/>
          <w:lang w:val="es-CL"/>
        </w:rPr>
        <w:t>Higonnet</w:t>
      </w:r>
      <w:proofErr w:type="spellEnd"/>
      <w:r w:rsidRPr="004E4363">
        <w:rPr>
          <w:rFonts w:ascii="Arial" w:hAnsi="Arial" w:cs="Arial"/>
          <w:sz w:val="24"/>
          <w:szCs w:val="24"/>
          <w:lang w:val="es-CL"/>
        </w:rPr>
        <w:t xml:space="preserve"> et al. 1987: 7).</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Asimismo, “para muchas feministas occidentales, las consecuencias para los roles y el estatus de las mujeres de la mayoría de las revoluciones y movimientos de independencia han sido decepcionantes” (</w:t>
      </w:r>
      <w:proofErr w:type="spellStart"/>
      <w:r w:rsidRPr="004E4363">
        <w:rPr>
          <w:rFonts w:ascii="Arial" w:hAnsi="Arial" w:cs="Arial"/>
          <w:sz w:val="24"/>
          <w:szCs w:val="24"/>
          <w:lang w:val="es-CL"/>
        </w:rPr>
        <w:t>Macdonald</w:t>
      </w:r>
      <w:proofErr w:type="spellEnd"/>
      <w:r w:rsidRPr="004E4363">
        <w:rPr>
          <w:rFonts w:ascii="Arial" w:hAnsi="Arial" w:cs="Arial"/>
          <w:sz w:val="24"/>
          <w:szCs w:val="24"/>
          <w:lang w:val="es-CL"/>
        </w:rPr>
        <w:t xml:space="preserve"> 1987: 9). Incluso cuando las mujeres participaron en conflictos militares como combatientes, al final de la guerra se esperaba que abandonaran los roles militares y regresaran a su esfera doméstica tradicional. Además, la imagen de las mujeres armadas ha sido frecuentemente mitificada y utilizada para movilizar a los hombres al combate. La imagen de combatientes revolucionarios en África, Asia o América Latina, llevando un niño en un brazo y un arma en el otro, se ha utilizado para promover la movilización para el conflicto armado. Según Judith </w:t>
      </w:r>
      <w:proofErr w:type="spellStart"/>
      <w:r w:rsidRPr="004E4363">
        <w:rPr>
          <w:rFonts w:ascii="Arial" w:hAnsi="Arial" w:cs="Arial"/>
          <w:sz w:val="24"/>
          <w:szCs w:val="24"/>
          <w:lang w:val="es-CL"/>
        </w:rPr>
        <w:t>Stiehm</w:t>
      </w:r>
      <w:proofErr w:type="spellEnd"/>
      <w:r w:rsidRPr="004E4363">
        <w:rPr>
          <w:rFonts w:ascii="Arial" w:hAnsi="Arial" w:cs="Arial"/>
          <w:sz w:val="24"/>
          <w:szCs w:val="24"/>
          <w:lang w:val="es-CL"/>
        </w:rPr>
        <w:t>, el mensaje implícito de estas imágenes –es decir, que “si incluso las mujeres luchan…” – era una forma de chantajear a los hombres para que se unieran al servicio, así como una demostración espectacular de la determinación de una nación a la autodefensa (</w:t>
      </w:r>
      <w:proofErr w:type="spellStart"/>
      <w:r w:rsidRPr="004E4363">
        <w:rPr>
          <w:rFonts w:ascii="Arial" w:hAnsi="Arial" w:cs="Arial"/>
          <w:sz w:val="24"/>
          <w:szCs w:val="24"/>
          <w:lang w:val="es-CL"/>
        </w:rPr>
        <w:t>Stiehm</w:t>
      </w:r>
      <w:proofErr w:type="spellEnd"/>
      <w:r w:rsidRPr="004E4363">
        <w:rPr>
          <w:rFonts w:ascii="Arial" w:hAnsi="Arial" w:cs="Arial"/>
          <w:sz w:val="24"/>
          <w:szCs w:val="24"/>
          <w:lang w:val="es-CL"/>
        </w:rPr>
        <w:t xml:space="preserve"> 1988: 96).</w:t>
      </w:r>
    </w:p>
    <w:p w:rsidR="004E4363" w:rsidRPr="004E4363" w:rsidRDefault="004E4363" w:rsidP="004E4363">
      <w:pPr>
        <w:jc w:val="both"/>
        <w:rPr>
          <w:rFonts w:ascii="Arial" w:hAnsi="Arial" w:cs="Arial"/>
          <w:sz w:val="24"/>
          <w:szCs w:val="24"/>
          <w:lang w:val="es-CL"/>
        </w:rPr>
      </w:pPr>
      <w:r w:rsidRPr="004E4363">
        <w:rPr>
          <w:rFonts w:ascii="Arial" w:hAnsi="Arial" w:cs="Arial"/>
          <w:sz w:val="24"/>
          <w:szCs w:val="24"/>
          <w:lang w:val="es-CL"/>
        </w:rPr>
        <w:t>Todas estas perspectivas subrayan un patrón similar, que diferentes</w:t>
      </w:r>
    </w:p>
    <w:p w:rsidR="004E4363" w:rsidRDefault="004E4363" w:rsidP="004E4363">
      <w:pPr>
        <w:jc w:val="both"/>
        <w:rPr>
          <w:rFonts w:ascii="Arial" w:hAnsi="Arial" w:cs="Arial"/>
          <w:sz w:val="24"/>
          <w:szCs w:val="24"/>
          <w:lang w:val="es-CL"/>
        </w:rPr>
      </w:pPr>
      <w:r w:rsidRPr="004E4363">
        <w:rPr>
          <w:rFonts w:ascii="Arial" w:hAnsi="Arial" w:cs="Arial"/>
          <w:sz w:val="24"/>
          <w:szCs w:val="24"/>
          <w:lang w:val="es-CL"/>
        </w:rPr>
        <w:t>estudios sobre mujeres combatientes a lo largo de la historia también han enfatizado sistemáticamente: después de ingresar</w:t>
      </w:r>
    </w:p>
    <w:p w:rsidR="004E4363" w:rsidRPr="00E91580" w:rsidRDefault="004E4363" w:rsidP="00E91580">
      <w:pPr>
        <w:jc w:val="both"/>
        <w:rPr>
          <w:rFonts w:ascii="Arial" w:hAnsi="Arial" w:cs="Arial"/>
          <w:sz w:val="24"/>
          <w:szCs w:val="24"/>
          <w:lang w:val="es-CL"/>
        </w:rPr>
      </w:pPr>
    </w:p>
    <w:p w:rsidR="00E91580" w:rsidRPr="00C53BE1" w:rsidRDefault="00E91580" w:rsidP="00E91580">
      <w:pPr>
        <w:jc w:val="both"/>
        <w:rPr>
          <w:rFonts w:ascii="Arial" w:hAnsi="Arial" w:cs="Arial"/>
          <w:sz w:val="24"/>
          <w:szCs w:val="24"/>
          <w:lang w:val="es-CL"/>
        </w:rPr>
      </w:pPr>
    </w:p>
    <w:sectPr w:rsidR="00E91580" w:rsidRPr="00C53BE1" w:rsidSect="00C53BE1">
      <w:pgSz w:w="12240" w:h="15840"/>
      <w:pgMar w:top="1417" w:right="4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BE1"/>
    <w:rsid w:val="002B3501"/>
    <w:rsid w:val="00435977"/>
    <w:rsid w:val="004E4363"/>
    <w:rsid w:val="00737B61"/>
    <w:rsid w:val="00AD4239"/>
    <w:rsid w:val="00B4707E"/>
    <w:rsid w:val="00C055A7"/>
    <w:rsid w:val="00C356AD"/>
    <w:rsid w:val="00C53BE1"/>
    <w:rsid w:val="00C62FB7"/>
    <w:rsid w:val="00E4483B"/>
    <w:rsid w:val="00E91580"/>
    <w:rsid w:val="00EC09BB"/>
    <w:rsid w:val="00F17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6C21C5-4167-4217-B92C-E3F7A0B37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TotalTime>
  <Pages>10</Pages>
  <Words>4887</Words>
  <Characters>27856</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Lorena</cp:lastModifiedBy>
  <cp:revision>9</cp:revision>
  <dcterms:created xsi:type="dcterms:W3CDTF">2024-11-09T16:08:00Z</dcterms:created>
  <dcterms:modified xsi:type="dcterms:W3CDTF">2024-11-11T03:07:00Z</dcterms:modified>
</cp:coreProperties>
</file>