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86E62" w14:textId="77777777" w:rsidR="00885956" w:rsidRPr="00BF077B" w:rsidRDefault="00885956" w:rsidP="00BF077B">
      <w:pPr>
        <w:pStyle w:val="ATSNormal"/>
        <w:rPr>
          <w:rStyle w:val="Ttulodellibro"/>
        </w:rPr>
      </w:pPr>
    </w:p>
    <w:p w14:paraId="03AF673E" w14:textId="77777777" w:rsidR="00885956" w:rsidRDefault="00885956" w:rsidP="004B4A60">
      <w:pPr>
        <w:rPr>
          <w:b/>
          <w:u w:val="single"/>
          <w:lang w:val="es-ES_tradnl"/>
        </w:rPr>
      </w:pPr>
    </w:p>
    <w:p w14:paraId="7B186D7E" w14:textId="77777777" w:rsidR="00885956" w:rsidRDefault="00885956" w:rsidP="004B4A60">
      <w:pPr>
        <w:rPr>
          <w:b/>
          <w:u w:val="single"/>
          <w:lang w:val="es-ES_tradnl"/>
        </w:rPr>
      </w:pPr>
    </w:p>
    <w:p w14:paraId="732D6EE9" w14:textId="77777777" w:rsidR="00885956" w:rsidRDefault="00885956" w:rsidP="004B4A60">
      <w:pPr>
        <w:rPr>
          <w:b/>
          <w:u w:val="single"/>
          <w:lang w:val="es-ES_tradnl"/>
        </w:rPr>
      </w:pPr>
    </w:p>
    <w:p w14:paraId="3104CF77" w14:textId="77777777" w:rsidR="00885956" w:rsidRDefault="00885956" w:rsidP="004B4A60">
      <w:pPr>
        <w:rPr>
          <w:b/>
          <w:u w:val="single"/>
          <w:lang w:val="es-ES_tradnl"/>
        </w:rPr>
      </w:pPr>
    </w:p>
    <w:p w14:paraId="2097D496" w14:textId="77777777" w:rsidR="00885956" w:rsidRDefault="00885956" w:rsidP="004B4A60">
      <w:pPr>
        <w:rPr>
          <w:b/>
          <w:u w:val="single"/>
          <w:lang w:val="es-ES_tradnl"/>
        </w:rPr>
      </w:pPr>
    </w:p>
    <w:p w14:paraId="7BC3357C" w14:textId="77777777" w:rsidR="00885956" w:rsidRPr="0057246E" w:rsidRDefault="00885956" w:rsidP="001B789F">
      <w:pPr>
        <w:pStyle w:val="ATSTitle"/>
      </w:pPr>
      <w:bookmarkStart w:id="0" w:name="name"/>
      <w:r>
        <w:t>Towards Structural Consolidation of Tourism-Related Monitoring under the Antarctic Treaty System</w:t>
      </w:r>
      <w:bookmarkEnd w:id="0"/>
    </w:p>
    <w:p w14:paraId="0AE7E2B1" w14:textId="77777777" w:rsidR="00885956" w:rsidRPr="0057246E" w:rsidRDefault="00885956" w:rsidP="00F75424">
      <w:pPr>
        <w:jc w:val="center"/>
      </w:pPr>
    </w:p>
    <w:p w14:paraId="7CF05186" w14:textId="77777777" w:rsidR="00885956" w:rsidRPr="002F0A13" w:rsidRDefault="00885956" w:rsidP="002F0A13"/>
    <w:p w14:paraId="2A748ED9" w14:textId="77777777" w:rsidR="00885956" w:rsidRDefault="00885956" w:rsidP="00F75424">
      <w:pPr>
        <w:jc w:val="center"/>
      </w:pPr>
      <w:bookmarkStart w:id="1" w:name="memo"/>
      <w:bookmarkEnd w:id="1"/>
    </w:p>
    <w:p w14:paraId="5498D666" w14:textId="77777777" w:rsidR="00885956" w:rsidRDefault="00885956" w:rsidP="00F75424">
      <w:pPr>
        <w:jc w:val="center"/>
      </w:pPr>
    </w:p>
    <w:p w14:paraId="0665F068" w14:textId="77777777" w:rsidR="00885956" w:rsidRDefault="00885956" w:rsidP="00F75424">
      <w:pPr>
        <w:jc w:val="center"/>
      </w:pPr>
    </w:p>
    <w:p w14:paraId="0FC48819" w14:textId="77777777" w:rsidR="00885956" w:rsidRDefault="00885956" w:rsidP="00F75424">
      <w:pPr>
        <w:jc w:val="center"/>
      </w:pPr>
    </w:p>
    <w:p w14:paraId="01A5D10C" w14:textId="77777777" w:rsidR="00885956" w:rsidRPr="00C26F2D" w:rsidRDefault="00885956" w:rsidP="00F75424">
      <w:pPr>
        <w:jc w:val="center"/>
      </w:pPr>
    </w:p>
    <w:p w14:paraId="5151620B" w14:textId="77777777" w:rsidR="00885956" w:rsidRPr="0057246E" w:rsidRDefault="00885956" w:rsidP="004B4A60"/>
    <w:p w14:paraId="3A2B320A" w14:textId="77777777" w:rsidR="00885956" w:rsidRDefault="00885956" w:rsidP="00952E9F">
      <w:pPr>
        <w:sectPr w:rsidR="00885956" w:rsidSect="00D5023C">
          <w:headerReference w:type="default" r:id="rId8"/>
          <w:footerReference w:type="even" r:id="rId9"/>
          <w:footerReference w:type="default" r:id="rId10"/>
          <w:pgSz w:w="11907" w:h="16840" w:code="9"/>
          <w:pgMar w:top="1134" w:right="1701" w:bottom="1134" w:left="1701" w:header="709" w:footer="709" w:gutter="0"/>
          <w:cols w:space="708"/>
          <w:docGrid w:linePitch="360"/>
        </w:sectPr>
      </w:pPr>
    </w:p>
    <w:p w14:paraId="262B7A1C" w14:textId="77777777" w:rsidR="00885956" w:rsidRDefault="00885956" w:rsidP="00952E9F"/>
    <w:p w14:paraId="3C178515" w14:textId="77777777" w:rsidR="00215037" w:rsidRPr="008D4287" w:rsidRDefault="00215037" w:rsidP="00215037">
      <w:pPr>
        <w:pStyle w:val="ATSHeading2"/>
        <w:spacing w:before="360" w:after="360"/>
        <w:jc w:val="center"/>
        <w:rPr>
          <w:i w:val="0"/>
          <w:iCs/>
          <w:sz w:val="32"/>
          <w:szCs w:val="32"/>
        </w:rPr>
      </w:pPr>
      <w:r w:rsidRPr="008D4287">
        <w:rPr>
          <w:i w:val="0"/>
          <w:iCs/>
          <w:sz w:val="32"/>
          <w:szCs w:val="32"/>
        </w:rPr>
        <w:t>Towards Structural Consolidation of Tourism-Related Monitoring under the Antarctic Treaty System</w:t>
      </w:r>
    </w:p>
    <w:p w14:paraId="6D59497F" w14:textId="77777777" w:rsidR="00215037" w:rsidRPr="008D4287" w:rsidRDefault="00215037" w:rsidP="00215037">
      <w:pPr>
        <w:pStyle w:val="ATSHeading2"/>
      </w:pPr>
      <w:r>
        <w:t>Summary</w:t>
      </w:r>
    </w:p>
    <w:p w14:paraId="1565894C" w14:textId="77777777" w:rsidR="00215037" w:rsidRDefault="00215037" w:rsidP="00215037">
      <w:pPr>
        <w:rPr>
          <w:b/>
          <w:bCs/>
        </w:rPr>
      </w:pPr>
      <w:r w:rsidRPr="00EF4190">
        <w:rPr>
          <w:szCs w:val="22"/>
          <w:lang w:val="en-US" w:eastAsia="en-GB"/>
        </w:rPr>
        <w:t xml:space="preserve">This paper recalls that environmental monitoring is </w:t>
      </w:r>
      <w:r>
        <w:rPr>
          <w:szCs w:val="22"/>
          <w:lang w:val="en-US" w:eastAsia="en-GB"/>
        </w:rPr>
        <w:t xml:space="preserve">a central </w:t>
      </w:r>
      <w:r w:rsidRPr="00EF4190">
        <w:rPr>
          <w:szCs w:val="22"/>
          <w:lang w:val="en-US" w:eastAsia="en-GB"/>
        </w:rPr>
        <w:t xml:space="preserve">operational </w:t>
      </w:r>
      <w:r>
        <w:rPr>
          <w:szCs w:val="22"/>
          <w:lang w:val="en-US" w:eastAsia="en-GB"/>
        </w:rPr>
        <w:t xml:space="preserve">and environmental </w:t>
      </w:r>
      <w:r w:rsidRPr="00EF4190">
        <w:rPr>
          <w:szCs w:val="22"/>
          <w:lang w:val="en-US" w:eastAsia="en-GB"/>
        </w:rPr>
        <w:t xml:space="preserve">obligation embedded in the Protocol on Environmental Protection </w:t>
      </w:r>
      <w:r w:rsidRPr="00F845B4">
        <w:rPr>
          <w:szCs w:val="22"/>
          <w:lang w:val="en-US" w:eastAsia="en-GB"/>
        </w:rPr>
        <w:t>to the Antarctic Treaty (Environmental Protocol)</w:t>
      </w:r>
      <w:r w:rsidRPr="00EB618F">
        <w:rPr>
          <w:szCs w:val="22"/>
          <w:lang w:val="en-US" w:eastAsia="en-GB"/>
        </w:rPr>
        <w:t>.</w:t>
      </w:r>
      <w:r w:rsidRPr="00EF4190">
        <w:rPr>
          <w:szCs w:val="22"/>
          <w:lang w:val="en-US" w:eastAsia="en-GB"/>
        </w:rPr>
        <w:t xml:space="preserve"> </w:t>
      </w:r>
      <w:r>
        <w:rPr>
          <w:szCs w:val="22"/>
          <w:lang w:val="en-US" w:eastAsia="en-GB"/>
        </w:rPr>
        <w:t>S</w:t>
      </w:r>
      <w:r w:rsidRPr="00EF4190">
        <w:rPr>
          <w:szCs w:val="22"/>
          <w:lang w:val="en-US" w:eastAsia="en-GB"/>
        </w:rPr>
        <w:t xml:space="preserve">everal initiatives relevant to tourism-related monitoring are currently advancing in parallel within the Antarctic Treaty System and beyond. While these efforts demonstrate </w:t>
      </w:r>
      <w:r>
        <w:rPr>
          <w:szCs w:val="22"/>
          <w:lang w:val="en-US" w:eastAsia="en-GB"/>
        </w:rPr>
        <w:t xml:space="preserve">that the need for </w:t>
      </w:r>
      <w:r w:rsidRPr="00EF4190">
        <w:rPr>
          <w:szCs w:val="22"/>
          <w:lang w:val="en-US" w:eastAsia="en-GB"/>
        </w:rPr>
        <w:t>monitoring</w:t>
      </w:r>
      <w:r>
        <w:rPr>
          <w:szCs w:val="22"/>
          <w:lang w:val="en-US" w:eastAsia="en-GB"/>
        </w:rPr>
        <w:t xml:space="preserve"> is broadly recognized, there is a risk of fragmentation and</w:t>
      </w:r>
      <w:r w:rsidRPr="00EF4190">
        <w:rPr>
          <w:szCs w:val="22"/>
          <w:lang w:val="en-US" w:eastAsia="en-GB"/>
        </w:rPr>
        <w:t xml:space="preserve"> </w:t>
      </w:r>
      <w:r>
        <w:rPr>
          <w:szCs w:val="22"/>
          <w:lang w:val="en-US" w:eastAsia="en-GB"/>
        </w:rPr>
        <w:t>limited</w:t>
      </w:r>
      <w:r w:rsidRPr="00EF4190">
        <w:rPr>
          <w:szCs w:val="22"/>
          <w:lang w:val="en-US" w:eastAsia="en-GB"/>
        </w:rPr>
        <w:t xml:space="preserve"> long-term </w:t>
      </w:r>
      <w:r>
        <w:rPr>
          <w:szCs w:val="22"/>
          <w:lang w:val="en-US" w:eastAsia="en-GB"/>
        </w:rPr>
        <w:t xml:space="preserve">data </w:t>
      </w:r>
      <w:r w:rsidRPr="00EF4190">
        <w:rPr>
          <w:szCs w:val="22"/>
          <w:lang w:val="en-US" w:eastAsia="en-GB"/>
        </w:rPr>
        <w:t>comparability. Th</w:t>
      </w:r>
      <w:r>
        <w:rPr>
          <w:szCs w:val="22"/>
          <w:lang w:val="en-US" w:eastAsia="en-GB"/>
        </w:rPr>
        <w:t>is</w:t>
      </w:r>
      <w:r w:rsidRPr="00EF4190">
        <w:rPr>
          <w:szCs w:val="22"/>
          <w:lang w:val="en-US" w:eastAsia="en-GB"/>
        </w:rPr>
        <w:t xml:space="preserve"> paper invites </w:t>
      </w:r>
      <w:r>
        <w:rPr>
          <w:szCs w:val="22"/>
          <w:lang w:val="en-US" w:eastAsia="en-GB"/>
        </w:rPr>
        <w:t>the Parties</w:t>
      </w:r>
      <w:r w:rsidRPr="00EF4190">
        <w:rPr>
          <w:szCs w:val="22"/>
          <w:lang w:val="en-US" w:eastAsia="en-GB"/>
        </w:rPr>
        <w:t xml:space="preserve"> to engage in a discussion on pathways for consolidating existing knowledge, initiatives and stakeholders into a coherent and operationally aligned approach.</w:t>
      </w:r>
      <w:r>
        <w:rPr>
          <w:szCs w:val="22"/>
          <w:lang w:val="en-US" w:eastAsia="en-GB"/>
        </w:rPr>
        <w:t xml:space="preserve"> </w:t>
      </w:r>
    </w:p>
    <w:p w14:paraId="7350DB55" w14:textId="77777777" w:rsidR="00215037" w:rsidRPr="00372AAE" w:rsidRDefault="00215037" w:rsidP="00215037">
      <w:pPr>
        <w:pStyle w:val="ATSHeading2"/>
      </w:pPr>
      <w:r w:rsidRPr="00372AAE">
        <w:t>Normative Context</w:t>
      </w:r>
    </w:p>
    <w:p w14:paraId="7FFB4AF4" w14:textId="77777777" w:rsidR="00215037" w:rsidRPr="00372AAE" w:rsidRDefault="00215037" w:rsidP="00215037">
      <w:r w:rsidRPr="00DB2439">
        <w:t>Monitoring is embedded in the environmental assessment framework established by the Environmental Protocol as an environmental principle applicable to all activities in the Antarctic Treaty area</w:t>
      </w:r>
      <w:r>
        <w:t>:</w:t>
      </w:r>
      <w:r w:rsidRPr="00372AAE">
        <w:t xml:space="preserve"> Article 3 requires that activities be planned and conducted so as to limit adverse impacts and to be based on sufficient information. Annex I further provides that environmental impact assessment includes procedures for monitoring and verif</w:t>
      </w:r>
      <w:r>
        <w:t xml:space="preserve">ying </w:t>
      </w:r>
      <w:r w:rsidRPr="00372AAE">
        <w:t xml:space="preserve">predicted impacts. </w:t>
      </w:r>
    </w:p>
    <w:p w14:paraId="6677753D" w14:textId="77777777" w:rsidR="00215037" w:rsidRDefault="00215037" w:rsidP="00215037"/>
    <w:p w14:paraId="0FD99615" w14:textId="77777777" w:rsidR="00215037" w:rsidRPr="00372AAE" w:rsidRDefault="00215037" w:rsidP="00215037">
      <w:r w:rsidRPr="00372AAE">
        <w:t>Within this framework, monitoring serves two interrelated functions</w:t>
      </w:r>
      <w:r>
        <w:t>:</w:t>
      </w:r>
      <w:r w:rsidRPr="00372AAE">
        <w:t xml:space="preserve"> It enables </w:t>
      </w:r>
      <w:r>
        <w:t xml:space="preserve">the </w:t>
      </w:r>
      <w:r w:rsidRPr="00372AAE">
        <w:t>verification of whether predicted impacts correspond to observed effects, and it provides information that can inform subsequent assessments of similar, expanding or cumulative activities. Monitoring thus, over time</w:t>
      </w:r>
      <w:r>
        <w:t>,</w:t>
      </w:r>
      <w:r w:rsidRPr="00372AAE">
        <w:t xml:space="preserve"> </w:t>
      </w:r>
      <w:r>
        <w:t xml:space="preserve">leads from </w:t>
      </w:r>
      <w:r w:rsidRPr="00372AAE">
        <w:t xml:space="preserve">individual project-level evaluation </w:t>
      </w:r>
      <w:r>
        <w:t>to</w:t>
      </w:r>
      <w:r w:rsidRPr="00372AAE">
        <w:t xml:space="preserve"> broader environmental understanding.</w:t>
      </w:r>
    </w:p>
    <w:p w14:paraId="295F4CD7" w14:textId="77777777" w:rsidR="00215037" w:rsidRDefault="00215037" w:rsidP="00215037"/>
    <w:p w14:paraId="4813AA33" w14:textId="77777777" w:rsidR="00215037" w:rsidRDefault="00215037" w:rsidP="00215037">
      <w:r w:rsidRPr="00372AAE">
        <w:t>Across successive CEP deliberations, monitoring considerations have been linked to discussions on cumulative impacts, site-based management, tourism growth and environmental change</w:t>
      </w:r>
      <w:r>
        <w:t xml:space="preserve">. </w:t>
      </w:r>
      <w:r w:rsidRPr="00372AAE">
        <w:t xml:space="preserve">In </w:t>
      </w:r>
      <w:r>
        <w:t xml:space="preserve">the </w:t>
      </w:r>
      <w:r w:rsidRPr="00372AAE">
        <w:t xml:space="preserve">recent discussions </w:t>
      </w:r>
      <w:r>
        <w:t xml:space="preserve">on a </w:t>
      </w:r>
      <w:r w:rsidRPr="00372AAE">
        <w:t>Tourism Framework, monitoring has been identified as a key element for ensuring that governance arrangements are supported by a reliable and comparable evidence base</w:t>
      </w:r>
      <w:r>
        <w:t>.</w:t>
      </w:r>
    </w:p>
    <w:p w14:paraId="3575350E" w14:textId="77777777" w:rsidR="00215037" w:rsidRDefault="00215037" w:rsidP="00215037">
      <w:pPr>
        <w:pStyle w:val="ATSHeading2"/>
      </w:pPr>
      <w:r w:rsidRPr="001F4956">
        <w:t>Knowledge Base, Ongoing Initiatives and Structural Considerations</w:t>
      </w:r>
      <w:r>
        <w:t xml:space="preserve"> </w:t>
      </w:r>
    </w:p>
    <w:p w14:paraId="6C811B59" w14:textId="77777777" w:rsidR="00215037" w:rsidRDefault="00215037" w:rsidP="00215037">
      <w:r w:rsidRPr="00372AAE">
        <w:t xml:space="preserve">A substantial body of monitoring-relevant knowledge has developed within and alongside the Antarctic Treaty System. </w:t>
      </w:r>
    </w:p>
    <w:p w14:paraId="30030731" w14:textId="77777777" w:rsidR="00215037" w:rsidRDefault="00215037" w:rsidP="00215037"/>
    <w:p w14:paraId="7F379EF7" w14:textId="77777777" w:rsidR="00215037" w:rsidRDefault="00215037" w:rsidP="00215037">
      <w:r w:rsidRPr="008026D8">
        <w:rPr>
          <w:u w:val="single"/>
        </w:rPr>
        <w:t>Scientific contributions</w:t>
      </w:r>
      <w:r w:rsidRPr="00372AAE">
        <w:t xml:space="preserve"> have addressed environmental change, ecosystem dynamics, wildlife disturbance, cumulative and site-specific impacts. These analyses provide conceptual frameworks and methodological </w:t>
      </w:r>
      <w:r>
        <w:t>approaches</w:t>
      </w:r>
      <w:r w:rsidRPr="00372AAE">
        <w:t xml:space="preserve"> that are directly relevant to discussions on tourism-related monitoring. Such expertise emerges from a </w:t>
      </w:r>
      <w:r>
        <w:t xml:space="preserve">wide </w:t>
      </w:r>
      <w:r w:rsidRPr="00372AAE">
        <w:t>range of scientific actors contributing to Antarctic environmental research and assessment processes.</w:t>
      </w:r>
    </w:p>
    <w:p w14:paraId="13DA6477" w14:textId="77777777" w:rsidR="00215037" w:rsidRPr="00372AAE" w:rsidRDefault="00215037" w:rsidP="00215037"/>
    <w:p w14:paraId="3C4CF116" w14:textId="77777777" w:rsidR="00215037" w:rsidRDefault="00215037" w:rsidP="00215037">
      <w:r w:rsidRPr="00372AAE">
        <w:t xml:space="preserve">Monitoring-relevant information is also generated through </w:t>
      </w:r>
      <w:r w:rsidRPr="008026D8">
        <w:rPr>
          <w:u w:val="single"/>
        </w:rPr>
        <w:t>operational practice</w:t>
      </w:r>
      <w:r w:rsidRPr="00372AAE">
        <w:t xml:space="preserve">. </w:t>
      </w:r>
      <w:r>
        <w:t>IAATO a</w:t>
      </w:r>
      <w:r w:rsidRPr="00372AAE">
        <w:t xml:space="preserve">nnual tourism statistics and reporting provide consistent data on visitor numbers, vessel activity and patterns of site use over time. </w:t>
      </w:r>
      <w:r>
        <w:t>S</w:t>
      </w:r>
      <w:r w:rsidRPr="00372AAE">
        <w:t>tructured site stewardship approaches ha</w:t>
      </w:r>
      <w:r>
        <w:t>ve</w:t>
      </w:r>
      <w:r w:rsidRPr="00372AAE">
        <w:t xml:space="preserve"> introduced more systematic observation and documentation at selected landing sites</w:t>
      </w:r>
      <w:r>
        <w:t xml:space="preserve">, </w:t>
      </w:r>
      <w:r w:rsidRPr="001A5E50">
        <w:t>generating practical insights into visitation intensity, spatial distribution and emerging management considerations</w:t>
      </w:r>
      <w:r w:rsidRPr="00372AAE">
        <w:t xml:space="preserve">. </w:t>
      </w:r>
      <w:r>
        <w:rPr>
          <w:u w:val="single"/>
        </w:rPr>
        <w:t>N</w:t>
      </w:r>
      <w:r w:rsidRPr="008026D8">
        <w:rPr>
          <w:u w:val="single"/>
        </w:rPr>
        <w:t>ational research programmes and individual research projects</w:t>
      </w:r>
      <w:r w:rsidRPr="00372AAE">
        <w:t xml:space="preserve"> have</w:t>
      </w:r>
      <w:r w:rsidRPr="001A5E50">
        <w:t xml:space="preserve"> further contributed site-based studies, impact assessments and methodological proposals relevant to monitoring tourism </w:t>
      </w:r>
      <w:r w:rsidRPr="001A5E50">
        <w:lastRenderedPageBreak/>
        <w:t>activities.</w:t>
      </w:r>
      <w:r w:rsidRPr="00372AAE">
        <w:t xml:space="preserve"> </w:t>
      </w:r>
      <w:r>
        <w:t>C</w:t>
      </w:r>
      <w:r w:rsidRPr="007D2634">
        <w:t xml:space="preserve">oordination initiatives such as Antarctica </w:t>
      </w:r>
      <w:proofErr w:type="spellStart"/>
      <w:r w:rsidRPr="007D2634">
        <w:t>InSync</w:t>
      </w:r>
      <w:proofErr w:type="spellEnd"/>
      <w:r w:rsidRPr="007D2634">
        <w:t xml:space="preserve"> (IP 91 (2024); IP 99 rev.1 (2025)) have reported on efforts to enhance circumpolar synchronisation of scientific observations, including human pressures and their environmental implications. </w:t>
      </w:r>
    </w:p>
    <w:p w14:paraId="6EC9BA3F" w14:textId="77777777" w:rsidR="00215037" w:rsidRDefault="00215037" w:rsidP="00215037"/>
    <w:p w14:paraId="4BFAFA3F" w14:textId="77777777" w:rsidR="00215037" w:rsidRDefault="00215037" w:rsidP="00215037">
      <w:r w:rsidRPr="00976393">
        <w:t>Together, these scientific, operational and research-based contributions demonstrate that monitoring-relevant information is already being generated across multiple domains</w:t>
      </w:r>
      <w:r>
        <w:t xml:space="preserve">, </w:t>
      </w:r>
      <w:r w:rsidRPr="00B64D68">
        <w:t>including in contexts that are not specifically designed for tourism but may nonetheless provide relevant insights for assessing tourism-related activities and impacts</w:t>
      </w:r>
      <w:r w:rsidRPr="00976393">
        <w:t>.</w:t>
      </w:r>
      <w:r>
        <w:t xml:space="preserve"> </w:t>
      </w:r>
      <w:r w:rsidRPr="00976393">
        <w:t>At the institutional level</w:t>
      </w:r>
      <w:r w:rsidRPr="007D2634">
        <w:t xml:space="preserve">, several monitoring-relevant processes are advancing within the Antarctic Treaty System. </w:t>
      </w:r>
    </w:p>
    <w:p w14:paraId="765F2A5C" w14:textId="77777777" w:rsidR="00215037" w:rsidRPr="007D2634" w:rsidRDefault="00215037" w:rsidP="00215037"/>
    <w:p w14:paraId="3BE905B5" w14:textId="77777777" w:rsidR="00215037" w:rsidRDefault="00215037" w:rsidP="00215037">
      <w:r w:rsidRPr="007D2634">
        <w:t xml:space="preserve">Within the </w:t>
      </w:r>
      <w:r w:rsidRPr="008026D8">
        <w:rPr>
          <w:u w:val="single"/>
        </w:rPr>
        <w:t>Tourism Framework discussions</w:t>
      </w:r>
      <w:r w:rsidRPr="007D2634">
        <w:t xml:space="preserve">, monitoring has been identified as a relevant component of governance considerations. </w:t>
      </w:r>
      <w:r>
        <w:t>E</w:t>
      </w:r>
      <w:r w:rsidRPr="007D2634">
        <w:t xml:space="preserve">nvironmental monitoring has been addressed in the CEP in relation to cumulative impacts and broader environmental observation needs. The </w:t>
      </w:r>
      <w:r w:rsidRPr="008026D8">
        <w:rPr>
          <w:u w:val="single"/>
        </w:rPr>
        <w:t>Intersessional Contact Group on an International Framework for Environmental Monitoring</w:t>
      </w:r>
      <w:r w:rsidRPr="007D2634">
        <w:t xml:space="preserve"> has examined general monitoring considerations. Furthermore, the </w:t>
      </w:r>
      <w:r w:rsidRPr="008026D8">
        <w:rPr>
          <w:u w:val="single"/>
        </w:rPr>
        <w:t>CEP Five-Year Work Plan</w:t>
      </w:r>
      <w:r w:rsidRPr="007D2634">
        <w:t>, adopted at CEP 26, identifies both the development of an environmental monitoring framework for tourism and NGO activities (Priority 1b) and the facilitation of monitoring and state of the environment reporting (Priority 2a) as strategic priorities, including actions on monitoring objectives, gap analysis and data accessibility.</w:t>
      </w:r>
    </w:p>
    <w:p w14:paraId="758CB503" w14:textId="77777777" w:rsidR="00215037" w:rsidRPr="007D2634" w:rsidRDefault="00215037" w:rsidP="00215037"/>
    <w:p w14:paraId="32092023" w14:textId="77777777" w:rsidR="00215037" w:rsidRDefault="00215037" w:rsidP="00215037">
      <w:r w:rsidRPr="00BC1F58">
        <w:t>Despite this growing body of knowledge and the emergence of multiple monitoring-related initiatives</w:t>
      </w:r>
      <w:r w:rsidRPr="007D2634">
        <w:t xml:space="preserve">, no agreed mechanism </w:t>
      </w:r>
      <w:r>
        <w:t xml:space="preserve">within the Antarctic Treaty System </w:t>
      </w:r>
      <w:r w:rsidRPr="007D2634">
        <w:t xml:space="preserve">ensures systematic connection, interoperability or joint prioritisation across these </w:t>
      </w:r>
      <w:r>
        <w:t>efforts</w:t>
      </w:r>
      <w:r w:rsidRPr="007D2634">
        <w:t xml:space="preserve">. </w:t>
      </w:r>
      <w:r>
        <w:t>Therefore, there is a risk that m</w:t>
      </w:r>
      <w:r w:rsidRPr="007D2634">
        <w:t>onitoring-relevant outputs remaining fragmented across processes, limiting their integration into a coherent and comparable evidence base</w:t>
      </w:r>
      <w:r>
        <w:t xml:space="preserve"> in general</w:t>
      </w:r>
      <w:r w:rsidRPr="007D2634">
        <w:t xml:space="preserve">. Monitoring requires comparability across operators, sites and seasons. </w:t>
      </w:r>
      <w:r>
        <w:t>If</w:t>
      </w:r>
      <w:r w:rsidRPr="007D2634">
        <w:t xml:space="preserve"> methods, definitions, metadata standards and reporting formats evolve separately, integration </w:t>
      </w:r>
      <w:r>
        <w:t xml:space="preserve">into a coherent evidence base will </w:t>
      </w:r>
      <w:r w:rsidRPr="007D2634">
        <w:t>become increasingly complex</w:t>
      </w:r>
      <w:r>
        <w:t xml:space="preserve"> or even impossible</w:t>
      </w:r>
      <w:r w:rsidRPr="007D2634">
        <w:t>.</w:t>
      </w:r>
    </w:p>
    <w:p w14:paraId="2322B5DC" w14:textId="77777777" w:rsidR="00215037" w:rsidRPr="007D2634" w:rsidRDefault="00215037" w:rsidP="00215037"/>
    <w:p w14:paraId="05A775EB" w14:textId="77777777" w:rsidR="00215037" w:rsidRDefault="00215037" w:rsidP="00215037">
      <w:r w:rsidRPr="00BC1F58">
        <w:t>This structural challenge is reinforced by the time-sensitive nature of tourism developments.</w:t>
      </w:r>
      <w:r>
        <w:t xml:space="preserve"> </w:t>
      </w:r>
      <w:r w:rsidRPr="007D2634">
        <w:t>Tourism activities continue to diversify and expand spatially and temporally. Each season without at least minimal alignment increases the likelihood that baselines shift without adequate documentation and that emerging trends become difficult to distinguish from natural variability or broader environmental change. Delayed coordination may therefore reduce the long-term interpretability and policy relevance of monitoring data.</w:t>
      </w:r>
    </w:p>
    <w:p w14:paraId="0463664E" w14:textId="77777777" w:rsidR="00215037" w:rsidRPr="007D2634" w:rsidRDefault="00215037" w:rsidP="00215037"/>
    <w:p w14:paraId="74587F12" w14:textId="77777777" w:rsidR="00215037" w:rsidRPr="007D2634" w:rsidRDefault="00215037" w:rsidP="00215037">
      <w:r w:rsidRPr="007D2634">
        <w:t>Early clarification of interfaces and minimum common elements would not require the immediate establishment of a fully developed monitoring system. Rather, it would create conditions under which diverse contributions can be meaningfully combined over time. Without such clarification, parallel efforts may entrench methodological divergence, duplicate work, and ultimately limit the capacity of monitoring outputs to support cumulative impact assessment and informed decision-making within the Antarctic Treaty System.</w:t>
      </w:r>
      <w:r>
        <w:t xml:space="preserve"> </w:t>
      </w:r>
      <w:r w:rsidRPr="00B83063">
        <w:t>Tourism provides a particularly dynamic and visible context in which these challenges become apparent. However, the structural issues identified are not limited to tourism activities and may be relevant for environmental monitoring more broadly</w:t>
      </w:r>
    </w:p>
    <w:p w14:paraId="020FD359" w14:textId="77777777" w:rsidR="00215037" w:rsidRDefault="00215037" w:rsidP="00215037">
      <w:pPr>
        <w:pStyle w:val="ATSHeading2"/>
        <w:spacing w:after="0"/>
      </w:pPr>
      <w:r w:rsidRPr="00C35E90">
        <w:t>Strategic Considerations for Consolidation</w:t>
      </w:r>
    </w:p>
    <w:p w14:paraId="342BAFE9" w14:textId="77777777" w:rsidR="00215037" w:rsidRPr="00C35E90" w:rsidRDefault="00215037" w:rsidP="00215037"/>
    <w:p w14:paraId="0B08486E" w14:textId="77777777" w:rsidR="00215037" w:rsidRDefault="00215037" w:rsidP="00215037">
      <w:r>
        <w:t>C</w:t>
      </w:r>
      <w:r w:rsidRPr="00C35E90">
        <w:t xml:space="preserve">onsolidation </w:t>
      </w:r>
      <w:r>
        <w:t>should focus on</w:t>
      </w:r>
      <w:r w:rsidRPr="00C35E90">
        <w:t xml:space="preserve"> the deliberate clarification of interfaces: agreement on minimum common elements, compatible terminology and basic metadata principles that allow monitoring-relevant information generated across different processes to remain interoperable over time. Establishing such foundations would enable diverse contributions </w:t>
      </w:r>
      <w:r>
        <w:t>–</w:t>
      </w:r>
      <w:r w:rsidRPr="00C35E90">
        <w:t xml:space="preserve"> scientific, operational and governance-related </w:t>
      </w:r>
      <w:r>
        <w:t xml:space="preserve">– </w:t>
      </w:r>
      <w:r w:rsidRPr="00C35E90">
        <w:t>to</w:t>
      </w:r>
      <w:r>
        <w:t xml:space="preserve"> </w:t>
      </w:r>
      <w:r w:rsidRPr="00C35E90">
        <w:t>accumulate into a coherent and progressively more comprehensive monitoring approach</w:t>
      </w:r>
      <w:r>
        <w:t xml:space="preserve">, </w:t>
      </w:r>
      <w:r w:rsidRPr="005C389F">
        <w:t>including but not limited to tourism-related monitoring contexts</w:t>
      </w:r>
      <w:r w:rsidRPr="00C35E90">
        <w:t>.</w:t>
      </w:r>
    </w:p>
    <w:p w14:paraId="57CF52B7" w14:textId="77777777" w:rsidR="00215037" w:rsidRPr="00C35E90" w:rsidRDefault="00215037" w:rsidP="00215037"/>
    <w:p w14:paraId="47A51D82" w14:textId="77777777" w:rsidR="00215037" w:rsidRDefault="00215037" w:rsidP="00215037">
      <w:r w:rsidRPr="00C35E90">
        <w:t xml:space="preserve">A comprehensive </w:t>
      </w:r>
      <w:r>
        <w:t xml:space="preserve">monitoring </w:t>
      </w:r>
      <w:r w:rsidRPr="00C35E90">
        <w:t xml:space="preserve">system need not be predefined in all its components at the outset. However, without early agreement on alignment principles, parallel developments risk reducing the feasibility of later integration. Conversely, </w:t>
      </w:r>
      <w:r>
        <w:t xml:space="preserve">early </w:t>
      </w:r>
      <w:r w:rsidRPr="00C35E90">
        <w:t>structured coordination would create the conditions under which existing efforts can mature into an operationally robust and collectively owned monitoring framework</w:t>
      </w:r>
      <w:r>
        <w:t xml:space="preserve">, </w:t>
      </w:r>
      <w:r w:rsidRPr="005C389F">
        <w:t>with relevance across different activity types within the Antarctic Treaty System</w:t>
      </w:r>
      <w:r w:rsidRPr="00C35E90">
        <w:t>.</w:t>
      </w:r>
    </w:p>
    <w:p w14:paraId="2469D4B4" w14:textId="77777777" w:rsidR="00215037" w:rsidRDefault="00215037" w:rsidP="00215037"/>
    <w:p w14:paraId="0B11B404" w14:textId="77777777" w:rsidR="00215037" w:rsidRPr="00DE1585" w:rsidRDefault="00215037" w:rsidP="00215037">
      <w:r w:rsidRPr="00AC6A57">
        <w:t>The question for the CEP is therefore not</w:t>
      </w:r>
      <w:r>
        <w:t>,</w:t>
      </w:r>
      <w:r w:rsidRPr="00AC6A57">
        <w:t xml:space="preserve"> whether monitoring activities exist, but how these emerging efforts can best be connected and guided so that they contribute to a coherent and comparable evidence base over time.</w:t>
      </w:r>
      <w:r>
        <w:t xml:space="preserve"> </w:t>
      </w:r>
      <w:r w:rsidRPr="00D01FA5">
        <w:t>One way to achieve this could</w:t>
      </w:r>
      <w:r>
        <w:t xml:space="preserve"> </w:t>
      </w:r>
      <w:r w:rsidRPr="00DE1585">
        <w:t>be structured coordination among conveners and actors</w:t>
      </w:r>
      <w:r w:rsidRPr="006F34A9">
        <w:t xml:space="preserve"> </w:t>
      </w:r>
      <w:r>
        <w:t xml:space="preserve">of </w:t>
      </w:r>
      <w:r w:rsidRPr="00DE1585">
        <w:t>existing</w:t>
      </w:r>
      <w:r>
        <w:t xml:space="preserve"> initiatives</w:t>
      </w:r>
      <w:r w:rsidRPr="00DE1585">
        <w:t>. This could include enhanced information exchange, cross-representation or the preparation of a concise joint mapping note identifying overlaps, complementarities and interface needs among ongoing initiatives. Such an approach would build directly on current processes while improving transparency and coherence.</w:t>
      </w:r>
    </w:p>
    <w:p w14:paraId="4133C0E4" w14:textId="77777777" w:rsidR="00215037" w:rsidRDefault="00215037" w:rsidP="00215037"/>
    <w:p w14:paraId="797BB095" w14:textId="77777777" w:rsidR="00215037" w:rsidRDefault="00215037" w:rsidP="00215037">
      <w:r w:rsidRPr="00DE1585">
        <w:t>A second pathway could involve a targeted, time-bound consultation or workshop bringing together relevant stakeholders, including CEP representatives, scientific contributors, operational actors and industry representatives. The purpose of such a process would be to clarify roles, identify minimum common elements and explore alignment principles in a focused setting</w:t>
      </w:r>
      <w:r>
        <w:t xml:space="preserve">, </w:t>
      </w:r>
      <w:r w:rsidRPr="005C389F">
        <w:t>recognising that tourism provides an entry point for discussion, while the outcomes may inform monitoring approaches more broadly</w:t>
      </w:r>
      <w:r w:rsidRPr="00DE1585">
        <w:t>.</w:t>
      </w:r>
    </w:p>
    <w:p w14:paraId="19324874" w14:textId="77777777" w:rsidR="00215037" w:rsidRDefault="00215037" w:rsidP="00215037">
      <w:pPr>
        <w:pStyle w:val="ATSHeading2"/>
      </w:pPr>
      <w:r w:rsidRPr="006E625F">
        <w:t>Recommendations</w:t>
      </w:r>
    </w:p>
    <w:p w14:paraId="39125B97" w14:textId="77777777" w:rsidR="00215037" w:rsidRDefault="00215037" w:rsidP="00215037">
      <w:r w:rsidRPr="006E625F">
        <w:t xml:space="preserve">In light of the time-sensitive nature of baseline documentation and the parallel development of </w:t>
      </w:r>
      <w:r>
        <w:t xml:space="preserve">various </w:t>
      </w:r>
      <w:r w:rsidRPr="006E625F">
        <w:t xml:space="preserve">monitoring initiatives, the </w:t>
      </w:r>
      <w:r>
        <w:t xml:space="preserve">Parties are </w:t>
      </w:r>
      <w:r w:rsidRPr="006E625F">
        <w:t xml:space="preserve">invited to </w:t>
      </w:r>
      <w:r>
        <w:t>discuss</w:t>
      </w:r>
      <w:r w:rsidRPr="006E625F">
        <w:t xml:space="preserve"> </w:t>
      </w:r>
      <w:bookmarkStart w:id="10" w:name="_Hlk222767028"/>
      <w:r w:rsidRPr="006E625F">
        <w:t xml:space="preserve">how consolidation </w:t>
      </w:r>
      <w:r w:rsidRPr="008C669C">
        <w:t xml:space="preserve">of </w:t>
      </w:r>
      <w:r>
        <w:t>t</w:t>
      </w:r>
      <w:r w:rsidRPr="008C669C">
        <w:t>ourism-</w:t>
      </w:r>
      <w:r>
        <w:t>r</w:t>
      </w:r>
      <w:r w:rsidRPr="008C669C">
        <w:t xml:space="preserve">elated </w:t>
      </w:r>
      <w:r>
        <w:t>m</w:t>
      </w:r>
      <w:r w:rsidRPr="008C669C">
        <w:t>onitoring</w:t>
      </w:r>
      <w:bookmarkEnd w:id="10"/>
      <w:r w:rsidRPr="008C669C">
        <w:t xml:space="preserve"> </w:t>
      </w:r>
      <w:r w:rsidRPr="006E625F">
        <w:t>can now be advanced within the existing framework.</w:t>
      </w:r>
    </w:p>
    <w:p w14:paraId="10507458" w14:textId="77777777" w:rsidR="00215037" w:rsidRDefault="00215037" w:rsidP="00215037"/>
    <w:p w14:paraId="798C0831" w14:textId="77777777" w:rsidR="00215037" w:rsidRDefault="00215037" w:rsidP="00215037">
      <w:r w:rsidRPr="006E625F">
        <w:t xml:space="preserve">In this context, </w:t>
      </w:r>
      <w:r>
        <w:t>Germany recommends the CEP to discuss:</w:t>
      </w:r>
    </w:p>
    <w:p w14:paraId="0C2330CC" w14:textId="77777777" w:rsidR="00215037" w:rsidRDefault="00215037" w:rsidP="00215037"/>
    <w:p w14:paraId="3D13B24A" w14:textId="77777777" w:rsidR="00215037" w:rsidRPr="0025353D" w:rsidRDefault="00215037" w:rsidP="00215037">
      <w:pPr>
        <w:pStyle w:val="Prrafodelista"/>
        <w:numPr>
          <w:ilvl w:val="0"/>
          <w:numId w:val="21"/>
        </w:numPr>
        <w:tabs>
          <w:tab w:val="num" w:pos="709"/>
        </w:tabs>
      </w:pPr>
      <w:r w:rsidRPr="001B4748">
        <w:t xml:space="preserve">how existing monitoring-related priorities in the Five-Year Work Plan (including actions under 1b and 2a) could be </w:t>
      </w:r>
      <w:r>
        <w:t xml:space="preserve">implemented </w:t>
      </w:r>
      <w:r w:rsidRPr="001B4748">
        <w:t>in a coordinated manner</w:t>
      </w:r>
      <w:r>
        <w:t xml:space="preserve">; </w:t>
      </w:r>
    </w:p>
    <w:p w14:paraId="37AB92DB" w14:textId="77777777" w:rsidR="00215037" w:rsidRPr="001B4748" w:rsidRDefault="00215037" w:rsidP="00215037">
      <w:pPr>
        <w:pStyle w:val="Prrafodelista"/>
        <w:numPr>
          <w:ilvl w:val="0"/>
          <w:numId w:val="21"/>
        </w:numPr>
        <w:tabs>
          <w:tab w:val="num" w:pos="709"/>
        </w:tabs>
      </w:pPr>
      <w:r w:rsidRPr="001B4748">
        <w:t xml:space="preserve">possible </w:t>
      </w:r>
      <w:r>
        <w:t>ways</w:t>
      </w:r>
      <w:r w:rsidRPr="001B4748">
        <w:t xml:space="preserve"> for enhancing alignment and interoperability between ongoing monitoring-relevant initiatives</w:t>
      </w:r>
      <w:r>
        <w:t xml:space="preserve">, </w:t>
      </w:r>
      <w:r w:rsidRPr="001B4748">
        <w:t>including</w:t>
      </w:r>
      <w:r>
        <w:t xml:space="preserve"> </w:t>
      </w:r>
      <w:r w:rsidRPr="0025353D">
        <w:t>focused workshop discussions or</w:t>
      </w:r>
      <w:r w:rsidRPr="00031651">
        <w:t xml:space="preserve"> </w:t>
      </w:r>
      <w:r w:rsidRPr="001B4748">
        <w:t>voluntary coordination efforts among interested Parties</w:t>
      </w:r>
      <w:r>
        <w:t xml:space="preserve">. </w:t>
      </w:r>
    </w:p>
    <w:p w14:paraId="4C2DAA75" w14:textId="77777777" w:rsidR="00215037" w:rsidRPr="001B4748" w:rsidRDefault="00215037" w:rsidP="00215037">
      <w:pPr>
        <w:pStyle w:val="Prrafodelista"/>
        <w:numPr>
          <w:ilvl w:val="0"/>
          <w:numId w:val="21"/>
        </w:numPr>
      </w:pPr>
      <w:r w:rsidRPr="001B4748">
        <w:t>guidance on how monitoring coherence should be advanced within its existing governance framework.</w:t>
      </w:r>
    </w:p>
    <w:p w14:paraId="23277746" w14:textId="77777777" w:rsidR="00215037" w:rsidRDefault="00215037" w:rsidP="00952E9F"/>
    <w:sectPr w:rsidR="00215037" w:rsidSect="00283F0F">
      <w:headerReference w:type="default" r:id="rId11"/>
      <w:footerReference w:type="default" r:id="rId12"/>
      <w:type w:val="oddPage"/>
      <w:pgSz w:w="11907" w:h="16840" w:code="9"/>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06615" w14:textId="77777777" w:rsidR="00A023D5" w:rsidRDefault="00A023D5">
      <w:r>
        <w:separator/>
      </w:r>
    </w:p>
  </w:endnote>
  <w:endnote w:type="continuationSeparator" w:id="0">
    <w:p w14:paraId="6F245ED6" w14:textId="77777777" w:rsidR="00A023D5" w:rsidRDefault="00A02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1E834" w14:textId="77777777" w:rsidR="00885956" w:rsidRDefault="00885956" w:rsidP="00CF5C82">
    <w:pPr>
      <w:framePr w:wrap="around" w:vAnchor="text" w:hAnchor="margin" w:xAlign="right" w:y="1"/>
    </w:pPr>
    <w:r>
      <w:fldChar w:fldCharType="begin"/>
    </w:r>
    <w:r>
      <w:instrText xml:space="preserve">PAGE  </w:instrText>
    </w:r>
    <w:r w:rsidR="00A023D5">
      <w:fldChar w:fldCharType="separate"/>
    </w:r>
    <w:r>
      <w:fldChar w:fldCharType="end"/>
    </w:r>
  </w:p>
  <w:p w14:paraId="4A25DD72" w14:textId="77777777" w:rsidR="00885956" w:rsidRDefault="00885956" w:rsidP="00FA0B9F">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A1900" w14:textId="77777777" w:rsidR="00885956" w:rsidRDefault="00885956" w:rsidP="00CF5C82">
    <w:pPr>
      <w:framePr w:wrap="around" w:vAnchor="text" w:hAnchor="margin" w:xAlign="right" w:y="1"/>
    </w:pPr>
    <w:r>
      <w:fldChar w:fldCharType="begin"/>
    </w:r>
    <w:r>
      <w:instrText xml:space="preserve">PAGE  </w:instrText>
    </w:r>
    <w:r>
      <w:fldChar w:fldCharType="separate"/>
    </w:r>
    <w:r>
      <w:rPr>
        <w:noProof/>
      </w:rPr>
      <w:t>1</w:t>
    </w:r>
    <w:r>
      <w:fldChar w:fldCharType="end"/>
    </w:r>
  </w:p>
  <w:p w14:paraId="2B2E09E4" w14:textId="4067938C" w:rsidR="00885956" w:rsidRDefault="00885956" w:rsidP="00215037">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AC8F5" w14:textId="77777777" w:rsidR="00885956" w:rsidRDefault="00885956" w:rsidP="00CF5C82">
    <w:pPr>
      <w:framePr w:wrap="around" w:vAnchor="text" w:hAnchor="margin" w:xAlign="right" w:y="1"/>
    </w:pPr>
    <w:r>
      <w:fldChar w:fldCharType="begin"/>
    </w:r>
    <w:r>
      <w:instrText xml:space="preserve">PAGE  </w:instrText>
    </w:r>
    <w:r>
      <w:fldChar w:fldCharType="separate"/>
    </w:r>
    <w:r>
      <w:rPr>
        <w:noProof/>
      </w:rPr>
      <w:t>3</w:t>
    </w:r>
    <w:r>
      <w:fldChar w:fldCharType="end"/>
    </w:r>
  </w:p>
  <w:p w14:paraId="425C4A14" w14:textId="77777777" w:rsidR="00885956" w:rsidRDefault="00885956" w:rsidP="00E311C9">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9F376" w14:textId="77777777" w:rsidR="00A023D5" w:rsidRDefault="00A023D5">
      <w:r>
        <w:separator/>
      </w:r>
    </w:p>
  </w:footnote>
  <w:footnote w:type="continuationSeparator" w:id="0">
    <w:p w14:paraId="1D9C2EE3" w14:textId="77777777" w:rsidR="00A023D5" w:rsidRDefault="00A023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272" w:type="dxa"/>
      <w:jc w:val="center"/>
      <w:tblLook w:val="01E0" w:firstRow="1" w:lastRow="1" w:firstColumn="1" w:lastColumn="1" w:noHBand="0" w:noVBand="0"/>
    </w:tblPr>
    <w:tblGrid>
      <w:gridCol w:w="5495"/>
      <w:gridCol w:w="3005"/>
      <w:gridCol w:w="1248"/>
      <w:gridCol w:w="1134"/>
      <w:gridCol w:w="390"/>
    </w:tblGrid>
    <w:tr w:rsidR="00E308E3" w14:paraId="5803EB3A" w14:textId="77777777" w:rsidTr="002E12EC">
      <w:trPr>
        <w:trHeight w:val="344"/>
        <w:jc w:val="center"/>
      </w:trPr>
      <w:tc>
        <w:tcPr>
          <w:tcW w:w="5495" w:type="dxa"/>
        </w:tcPr>
        <w:p w14:paraId="3CAC2603" w14:textId="77777777" w:rsidR="00885956" w:rsidRDefault="00885956" w:rsidP="00F968D4">
          <w:bookmarkStart w:id="2" w:name="_Hlk218605822"/>
        </w:p>
      </w:tc>
      <w:tc>
        <w:tcPr>
          <w:tcW w:w="4253" w:type="dxa"/>
          <w:gridSpan w:val="2"/>
        </w:tcPr>
        <w:p w14:paraId="333B1CA7" w14:textId="77777777" w:rsidR="00885956" w:rsidRPr="00BD47E4" w:rsidRDefault="00885956" w:rsidP="002A07BC">
          <w:pPr>
            <w:jc w:val="right"/>
            <w:rPr>
              <w:b/>
              <w:sz w:val="32"/>
              <w:szCs w:val="32"/>
            </w:rPr>
          </w:pPr>
          <w:bookmarkStart w:id="3" w:name="type"/>
          <w:r w:rsidRPr="00BD47E4">
            <w:rPr>
              <w:b/>
              <w:sz w:val="32"/>
              <w:szCs w:val="32"/>
            </w:rPr>
            <w:t>WP</w:t>
          </w:r>
          <w:bookmarkEnd w:id="3"/>
        </w:p>
      </w:tc>
      <w:tc>
        <w:tcPr>
          <w:tcW w:w="1524" w:type="dxa"/>
          <w:gridSpan w:val="2"/>
        </w:tcPr>
        <w:p w14:paraId="7DC70B28" w14:textId="77777777" w:rsidR="00885956" w:rsidRPr="00BD47E4" w:rsidRDefault="00885956" w:rsidP="00DB7C09">
          <w:pPr>
            <w:rPr>
              <w:b/>
              <w:sz w:val="32"/>
              <w:szCs w:val="32"/>
            </w:rPr>
          </w:pPr>
          <w:bookmarkStart w:id="4" w:name="number"/>
          <w:r w:rsidRPr="00BD47E4">
            <w:rPr>
              <w:b/>
              <w:sz w:val="32"/>
              <w:szCs w:val="32"/>
            </w:rPr>
            <w:t>11</w:t>
          </w:r>
          <w:bookmarkEnd w:id="4"/>
        </w:p>
      </w:tc>
    </w:tr>
    <w:tr w:rsidR="00E308E3" w14:paraId="6FCEAE30" w14:textId="77777777" w:rsidTr="002E12EC">
      <w:trPr>
        <w:trHeight w:val="2165"/>
        <w:jc w:val="center"/>
      </w:trPr>
      <w:tc>
        <w:tcPr>
          <w:tcW w:w="5495" w:type="dxa"/>
        </w:tcPr>
        <w:p w14:paraId="2963E6EA" w14:textId="77777777" w:rsidR="00885956" w:rsidRPr="00EE4D48" w:rsidRDefault="00885956" w:rsidP="002A07BC">
          <w:pPr>
            <w:rPr>
              <w:b/>
              <w:sz w:val="28"/>
              <w:szCs w:val="28"/>
            </w:rPr>
          </w:pPr>
          <w:r>
            <w:rPr>
              <w:b/>
              <w:noProof/>
              <w:sz w:val="28"/>
              <w:szCs w:val="28"/>
            </w:rPr>
            <w:drawing>
              <wp:anchor distT="0" distB="0" distL="114300" distR="114300" simplePos="0" relativeHeight="251658240" behindDoc="1" locked="0" layoutInCell="1" allowOverlap="1" wp14:anchorId="0D419059" wp14:editId="274B6E1D">
                <wp:simplePos x="0" y="0"/>
                <wp:positionH relativeFrom="column">
                  <wp:posOffset>0</wp:posOffset>
                </wp:positionH>
                <wp:positionV relativeFrom="paragraph">
                  <wp:posOffset>3810</wp:posOffset>
                </wp:positionV>
                <wp:extent cx="3218688" cy="1839250"/>
                <wp:effectExtent l="0" t="0" r="1270" b="8890"/>
                <wp:wrapNone/>
                <wp:docPr id="203257775"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579971" name="Imagen 1" descr="Imagen que contiene 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3242528" cy="1852873"/>
                        </a:xfrm>
                        <a:prstGeom prst="rect">
                          <a:avLst/>
                        </a:prstGeom>
                      </pic:spPr>
                    </pic:pic>
                  </a:graphicData>
                </a:graphic>
                <wp14:sizeRelH relativeFrom="margin">
                  <wp14:pctWidth>0</wp14:pctWidth>
                </wp14:sizeRelH>
                <wp14:sizeRelV relativeFrom="margin">
                  <wp14:pctHeight>0</wp14:pctHeight>
                </wp14:sizeRelV>
              </wp:anchor>
            </w:drawing>
          </w:r>
        </w:p>
      </w:tc>
      <w:tc>
        <w:tcPr>
          <w:tcW w:w="5777" w:type="dxa"/>
          <w:gridSpan w:val="4"/>
          <w:vAlign w:val="center"/>
        </w:tcPr>
        <w:p w14:paraId="789E667C" w14:textId="77777777" w:rsidR="00885956" w:rsidRPr="00FE5146" w:rsidRDefault="00885956" w:rsidP="00490760">
          <w:pPr>
            <w:jc w:val="right"/>
            <w:rPr>
              <w:sz w:val="144"/>
              <w:szCs w:val="144"/>
            </w:rPr>
          </w:pPr>
          <w:r w:rsidRPr="00FE5146">
            <w:rPr>
              <w:sz w:val="144"/>
              <w:szCs w:val="144"/>
            </w:rPr>
            <w:t>ENG</w:t>
          </w:r>
        </w:p>
      </w:tc>
    </w:tr>
    <w:tr w:rsidR="00E308E3" w14:paraId="4D03E3EA" w14:textId="77777777" w:rsidTr="002E12EC">
      <w:trPr>
        <w:trHeight w:val="409"/>
        <w:jc w:val="center"/>
      </w:trPr>
      <w:tc>
        <w:tcPr>
          <w:tcW w:w="8500" w:type="dxa"/>
          <w:gridSpan w:val="2"/>
        </w:tcPr>
        <w:p w14:paraId="66FD4D1D" w14:textId="77777777" w:rsidR="00885956" w:rsidRDefault="00885956" w:rsidP="002C30DA">
          <w:pPr>
            <w:jc w:val="right"/>
          </w:pPr>
          <w:r>
            <w:t>Agenda Item:</w:t>
          </w:r>
        </w:p>
      </w:tc>
      <w:tc>
        <w:tcPr>
          <w:tcW w:w="2382" w:type="dxa"/>
          <w:gridSpan w:val="2"/>
        </w:tcPr>
        <w:p w14:paraId="1E843E1C" w14:textId="77777777" w:rsidR="00885956" w:rsidRDefault="00885956" w:rsidP="002C30DA">
          <w:pPr>
            <w:jc w:val="right"/>
          </w:pPr>
          <w:bookmarkStart w:id="5" w:name="agenda"/>
          <w:r>
            <w:t>CEP 10</w:t>
          </w:r>
          <w:bookmarkEnd w:id="5"/>
        </w:p>
      </w:tc>
      <w:tc>
        <w:tcPr>
          <w:tcW w:w="390" w:type="dxa"/>
        </w:tcPr>
        <w:p w14:paraId="524F7337" w14:textId="77777777" w:rsidR="00885956" w:rsidRDefault="00885956" w:rsidP="00387A65">
          <w:pPr>
            <w:jc w:val="right"/>
          </w:pPr>
        </w:p>
      </w:tc>
    </w:tr>
    <w:tr w:rsidR="00E308E3" w14:paraId="451CEB3C" w14:textId="77777777" w:rsidTr="002E12EC">
      <w:trPr>
        <w:trHeight w:val="397"/>
        <w:jc w:val="center"/>
      </w:trPr>
      <w:tc>
        <w:tcPr>
          <w:tcW w:w="8500" w:type="dxa"/>
          <w:gridSpan w:val="2"/>
        </w:tcPr>
        <w:p w14:paraId="294B672B" w14:textId="77777777" w:rsidR="00885956" w:rsidRDefault="00885956" w:rsidP="002C30DA">
          <w:pPr>
            <w:jc w:val="right"/>
          </w:pPr>
          <w:r>
            <w:t>Presented by:</w:t>
          </w:r>
        </w:p>
      </w:tc>
      <w:tc>
        <w:tcPr>
          <w:tcW w:w="2382" w:type="dxa"/>
          <w:gridSpan w:val="2"/>
        </w:tcPr>
        <w:p w14:paraId="4CC1AA52" w14:textId="77777777" w:rsidR="00885956" w:rsidRDefault="00885956" w:rsidP="002C30DA">
          <w:pPr>
            <w:jc w:val="right"/>
          </w:pPr>
          <w:bookmarkStart w:id="6" w:name="party"/>
          <w:r>
            <w:t>Germany</w:t>
          </w:r>
          <w:bookmarkEnd w:id="6"/>
        </w:p>
      </w:tc>
      <w:tc>
        <w:tcPr>
          <w:tcW w:w="390" w:type="dxa"/>
        </w:tcPr>
        <w:p w14:paraId="3CAFF37E" w14:textId="77777777" w:rsidR="00885956" w:rsidRDefault="00885956" w:rsidP="00387A65">
          <w:pPr>
            <w:jc w:val="right"/>
          </w:pPr>
        </w:p>
      </w:tc>
    </w:tr>
    <w:tr w:rsidR="00E308E3" w14:paraId="7F2A2C3F" w14:textId="77777777" w:rsidTr="002E12EC">
      <w:trPr>
        <w:trHeight w:val="409"/>
        <w:jc w:val="center"/>
      </w:trPr>
      <w:tc>
        <w:tcPr>
          <w:tcW w:w="8500" w:type="dxa"/>
          <w:gridSpan w:val="2"/>
        </w:tcPr>
        <w:p w14:paraId="01793B10" w14:textId="77777777" w:rsidR="00885956" w:rsidRDefault="00885956" w:rsidP="002C30DA">
          <w:pPr>
            <w:jc w:val="right"/>
          </w:pPr>
          <w:r>
            <w:t>Original:</w:t>
          </w:r>
        </w:p>
      </w:tc>
      <w:tc>
        <w:tcPr>
          <w:tcW w:w="2382" w:type="dxa"/>
          <w:gridSpan w:val="2"/>
        </w:tcPr>
        <w:p w14:paraId="22DB7542" w14:textId="77777777" w:rsidR="00885956" w:rsidRDefault="00885956" w:rsidP="002C30DA">
          <w:pPr>
            <w:jc w:val="right"/>
          </w:pPr>
          <w:bookmarkStart w:id="7" w:name="language"/>
          <w:r>
            <w:t>English</w:t>
          </w:r>
          <w:bookmarkEnd w:id="7"/>
        </w:p>
      </w:tc>
      <w:tc>
        <w:tcPr>
          <w:tcW w:w="390" w:type="dxa"/>
        </w:tcPr>
        <w:p w14:paraId="582E3167" w14:textId="77777777" w:rsidR="00885956" w:rsidRDefault="00885956" w:rsidP="00387A65">
          <w:pPr>
            <w:jc w:val="right"/>
          </w:pPr>
        </w:p>
      </w:tc>
    </w:tr>
    <w:tr w:rsidR="00E308E3" w14:paraId="317EEF44" w14:textId="77777777" w:rsidTr="002E12EC">
      <w:trPr>
        <w:trHeight w:val="409"/>
        <w:jc w:val="center"/>
      </w:trPr>
      <w:tc>
        <w:tcPr>
          <w:tcW w:w="8500" w:type="dxa"/>
          <w:gridSpan w:val="2"/>
        </w:tcPr>
        <w:p w14:paraId="0FF05DBB" w14:textId="77777777" w:rsidR="00885956" w:rsidRDefault="00885956" w:rsidP="0002555C">
          <w:pPr>
            <w:jc w:val="right"/>
          </w:pPr>
          <w:r>
            <w:t>Submitted:</w:t>
          </w:r>
        </w:p>
      </w:tc>
      <w:tc>
        <w:tcPr>
          <w:tcW w:w="2382" w:type="dxa"/>
          <w:gridSpan w:val="2"/>
        </w:tcPr>
        <w:p w14:paraId="134897B1" w14:textId="77777777" w:rsidR="00885956" w:rsidRDefault="00885956" w:rsidP="0002555C">
          <w:pPr>
            <w:jc w:val="right"/>
          </w:pPr>
          <w:bookmarkStart w:id="8" w:name="date_submission"/>
          <w:r>
            <w:t>24 Mar 2026</w:t>
          </w:r>
          <w:bookmarkEnd w:id="8"/>
        </w:p>
      </w:tc>
      <w:tc>
        <w:tcPr>
          <w:tcW w:w="390" w:type="dxa"/>
        </w:tcPr>
        <w:p w14:paraId="62F02316" w14:textId="77777777" w:rsidR="00885956" w:rsidRDefault="00885956" w:rsidP="0002555C">
          <w:pPr>
            <w:jc w:val="right"/>
          </w:pPr>
        </w:p>
      </w:tc>
    </w:tr>
    <w:tr w:rsidR="00E308E3" w14:paraId="6F72203C" w14:textId="77777777" w:rsidTr="0002555C">
      <w:trPr>
        <w:trHeight w:val="409"/>
        <w:jc w:val="center"/>
      </w:trPr>
      <w:tc>
        <w:tcPr>
          <w:tcW w:w="8500" w:type="dxa"/>
          <w:gridSpan w:val="2"/>
        </w:tcPr>
        <w:p w14:paraId="6DADC93C" w14:textId="77777777" w:rsidR="00885956" w:rsidRDefault="00885956" w:rsidP="0002555C">
          <w:pPr>
            <w:jc w:val="right"/>
          </w:pPr>
          <w:r>
            <w:t>Revision:</w:t>
          </w:r>
        </w:p>
      </w:tc>
      <w:tc>
        <w:tcPr>
          <w:tcW w:w="2382" w:type="dxa"/>
          <w:gridSpan w:val="2"/>
        </w:tcPr>
        <w:p w14:paraId="3F0DF237" w14:textId="77777777" w:rsidR="00885956" w:rsidRDefault="00885956" w:rsidP="0002555C">
          <w:pPr>
            <w:jc w:val="right"/>
          </w:pPr>
          <w:bookmarkStart w:id="9" w:name="date_revision"/>
          <w:r>
            <w:t>---</w:t>
          </w:r>
          <w:bookmarkEnd w:id="9"/>
        </w:p>
      </w:tc>
      <w:tc>
        <w:tcPr>
          <w:tcW w:w="390" w:type="dxa"/>
        </w:tcPr>
        <w:p w14:paraId="151205B8" w14:textId="77777777" w:rsidR="00885956" w:rsidRDefault="00885956" w:rsidP="0002555C">
          <w:pPr>
            <w:jc w:val="right"/>
          </w:pPr>
        </w:p>
      </w:tc>
    </w:tr>
    <w:bookmarkEnd w:id="2"/>
  </w:tbl>
  <w:p w14:paraId="084B8713" w14:textId="77777777" w:rsidR="00885956" w:rsidRDefault="0088595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26" w:type="dxa"/>
      <w:jc w:val="center"/>
      <w:tblLook w:val="01E0" w:firstRow="1" w:lastRow="1" w:firstColumn="1" w:lastColumn="1" w:noHBand="0" w:noVBand="0"/>
    </w:tblPr>
    <w:tblGrid>
      <w:gridCol w:w="9694"/>
      <w:gridCol w:w="1332"/>
    </w:tblGrid>
    <w:tr w:rsidR="00E308E3" w14:paraId="44326EA8" w14:textId="77777777">
      <w:trPr>
        <w:trHeight w:val="354"/>
        <w:jc w:val="center"/>
      </w:trPr>
      <w:tc>
        <w:tcPr>
          <w:tcW w:w="9694" w:type="dxa"/>
        </w:tcPr>
        <w:p w14:paraId="2F540301" w14:textId="104537DD" w:rsidR="00885956" w:rsidRPr="00BD47E4" w:rsidRDefault="00215037" w:rsidP="00C26F2D">
          <w:pPr>
            <w:jc w:val="right"/>
            <w:rPr>
              <w:b/>
              <w:sz w:val="32"/>
              <w:szCs w:val="32"/>
            </w:rPr>
          </w:pPr>
          <w:r>
            <w:rPr>
              <w:b/>
              <w:sz w:val="32"/>
              <w:szCs w:val="32"/>
            </w:rPr>
            <w:t>WP</w:t>
          </w:r>
        </w:p>
      </w:tc>
      <w:tc>
        <w:tcPr>
          <w:tcW w:w="1332" w:type="dxa"/>
        </w:tcPr>
        <w:p w14:paraId="4503F748" w14:textId="0ED19DDB" w:rsidR="00885956" w:rsidRPr="00BD47E4" w:rsidRDefault="00215037" w:rsidP="00080F4C">
          <w:pPr>
            <w:rPr>
              <w:b/>
              <w:sz w:val="32"/>
              <w:szCs w:val="32"/>
            </w:rPr>
          </w:pPr>
          <w:r>
            <w:rPr>
              <w:b/>
              <w:sz w:val="32"/>
              <w:szCs w:val="32"/>
            </w:rPr>
            <w:t>11</w:t>
          </w:r>
        </w:p>
      </w:tc>
    </w:tr>
  </w:tbl>
  <w:p w14:paraId="5DCBF347" w14:textId="77777777" w:rsidR="00885956" w:rsidRDefault="008859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044987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E0EC73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EB63ED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9D2F98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114CC6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E141F9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0DA274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982BAE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A6C13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DCC038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F94657"/>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286577EA"/>
    <w:multiLevelType w:val="hybridMultilevel"/>
    <w:tmpl w:val="21A63D98"/>
    <w:lvl w:ilvl="0" w:tplc="33B2B4B8">
      <w:start w:val="1"/>
      <w:numFmt w:val="bullet"/>
      <w:pStyle w:val="ATSBullet1"/>
      <w:lvlText w:val=""/>
      <w:lvlJc w:val="left"/>
      <w:pPr>
        <w:tabs>
          <w:tab w:val="num" w:pos="360"/>
        </w:tabs>
        <w:ind w:left="360" w:hanging="360"/>
      </w:pPr>
      <w:rPr>
        <w:rFonts w:ascii="Symbol" w:hAnsi="Symbol" w:hint="default"/>
        <w:color w:val="auto"/>
      </w:rPr>
    </w:lvl>
    <w:lvl w:ilvl="1" w:tplc="67545C16" w:tentative="1">
      <w:start w:val="1"/>
      <w:numFmt w:val="bullet"/>
      <w:lvlText w:val="o"/>
      <w:lvlJc w:val="left"/>
      <w:pPr>
        <w:tabs>
          <w:tab w:val="num" w:pos="1440"/>
        </w:tabs>
        <w:ind w:left="1440" w:hanging="360"/>
      </w:pPr>
      <w:rPr>
        <w:rFonts w:ascii="Courier New" w:hAnsi="Courier New" w:cs="Courier New" w:hint="default"/>
      </w:rPr>
    </w:lvl>
    <w:lvl w:ilvl="2" w:tplc="3564CE8C" w:tentative="1">
      <w:start w:val="1"/>
      <w:numFmt w:val="bullet"/>
      <w:lvlText w:val=""/>
      <w:lvlJc w:val="left"/>
      <w:pPr>
        <w:tabs>
          <w:tab w:val="num" w:pos="2160"/>
        </w:tabs>
        <w:ind w:left="2160" w:hanging="360"/>
      </w:pPr>
      <w:rPr>
        <w:rFonts w:ascii="Wingdings" w:hAnsi="Wingdings" w:hint="default"/>
      </w:rPr>
    </w:lvl>
    <w:lvl w:ilvl="3" w:tplc="70D050D2" w:tentative="1">
      <w:start w:val="1"/>
      <w:numFmt w:val="bullet"/>
      <w:lvlText w:val=""/>
      <w:lvlJc w:val="left"/>
      <w:pPr>
        <w:tabs>
          <w:tab w:val="num" w:pos="2880"/>
        </w:tabs>
        <w:ind w:left="2880" w:hanging="360"/>
      </w:pPr>
      <w:rPr>
        <w:rFonts w:ascii="Symbol" w:hAnsi="Symbol" w:hint="default"/>
      </w:rPr>
    </w:lvl>
    <w:lvl w:ilvl="4" w:tplc="F2AC3C2A" w:tentative="1">
      <w:start w:val="1"/>
      <w:numFmt w:val="bullet"/>
      <w:lvlText w:val="o"/>
      <w:lvlJc w:val="left"/>
      <w:pPr>
        <w:tabs>
          <w:tab w:val="num" w:pos="3600"/>
        </w:tabs>
        <w:ind w:left="3600" w:hanging="360"/>
      </w:pPr>
      <w:rPr>
        <w:rFonts w:ascii="Courier New" w:hAnsi="Courier New" w:cs="Courier New" w:hint="default"/>
      </w:rPr>
    </w:lvl>
    <w:lvl w:ilvl="5" w:tplc="9FFAE8DE" w:tentative="1">
      <w:start w:val="1"/>
      <w:numFmt w:val="bullet"/>
      <w:lvlText w:val=""/>
      <w:lvlJc w:val="left"/>
      <w:pPr>
        <w:tabs>
          <w:tab w:val="num" w:pos="4320"/>
        </w:tabs>
        <w:ind w:left="4320" w:hanging="360"/>
      </w:pPr>
      <w:rPr>
        <w:rFonts w:ascii="Wingdings" w:hAnsi="Wingdings" w:hint="default"/>
      </w:rPr>
    </w:lvl>
    <w:lvl w:ilvl="6" w:tplc="0ED208E8" w:tentative="1">
      <w:start w:val="1"/>
      <w:numFmt w:val="bullet"/>
      <w:lvlText w:val=""/>
      <w:lvlJc w:val="left"/>
      <w:pPr>
        <w:tabs>
          <w:tab w:val="num" w:pos="5040"/>
        </w:tabs>
        <w:ind w:left="5040" w:hanging="360"/>
      </w:pPr>
      <w:rPr>
        <w:rFonts w:ascii="Symbol" w:hAnsi="Symbol" w:hint="default"/>
      </w:rPr>
    </w:lvl>
    <w:lvl w:ilvl="7" w:tplc="F9CE1866" w:tentative="1">
      <w:start w:val="1"/>
      <w:numFmt w:val="bullet"/>
      <w:lvlText w:val="o"/>
      <w:lvlJc w:val="left"/>
      <w:pPr>
        <w:tabs>
          <w:tab w:val="num" w:pos="5760"/>
        </w:tabs>
        <w:ind w:left="5760" w:hanging="360"/>
      </w:pPr>
      <w:rPr>
        <w:rFonts w:ascii="Courier New" w:hAnsi="Courier New" w:cs="Courier New" w:hint="default"/>
      </w:rPr>
    </w:lvl>
    <w:lvl w:ilvl="8" w:tplc="4A44A1B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9D35C15"/>
    <w:multiLevelType w:val="hybridMultilevel"/>
    <w:tmpl w:val="A8A2E45C"/>
    <w:lvl w:ilvl="0" w:tplc="F6502794">
      <w:start w:val="1"/>
      <w:numFmt w:val="decimal"/>
      <w:lvlText w:val="%1)"/>
      <w:lvlJc w:val="left"/>
      <w:pPr>
        <w:tabs>
          <w:tab w:val="num" w:pos="340"/>
        </w:tabs>
        <w:ind w:left="340" w:hanging="340"/>
      </w:pPr>
      <w:rPr>
        <w:rFonts w:hint="default"/>
      </w:rPr>
    </w:lvl>
    <w:lvl w:ilvl="1" w:tplc="D464802C" w:tentative="1">
      <w:start w:val="1"/>
      <w:numFmt w:val="lowerLetter"/>
      <w:lvlText w:val="%2."/>
      <w:lvlJc w:val="left"/>
      <w:pPr>
        <w:tabs>
          <w:tab w:val="num" w:pos="1440"/>
        </w:tabs>
        <w:ind w:left="1440" w:hanging="360"/>
      </w:pPr>
    </w:lvl>
    <w:lvl w:ilvl="2" w:tplc="B3789B74" w:tentative="1">
      <w:start w:val="1"/>
      <w:numFmt w:val="lowerRoman"/>
      <w:lvlText w:val="%3."/>
      <w:lvlJc w:val="right"/>
      <w:pPr>
        <w:tabs>
          <w:tab w:val="num" w:pos="2160"/>
        </w:tabs>
        <w:ind w:left="2160" w:hanging="180"/>
      </w:pPr>
    </w:lvl>
    <w:lvl w:ilvl="3" w:tplc="2C4852CA" w:tentative="1">
      <w:start w:val="1"/>
      <w:numFmt w:val="decimal"/>
      <w:lvlText w:val="%4."/>
      <w:lvlJc w:val="left"/>
      <w:pPr>
        <w:tabs>
          <w:tab w:val="num" w:pos="2880"/>
        </w:tabs>
        <w:ind w:left="2880" w:hanging="360"/>
      </w:pPr>
    </w:lvl>
    <w:lvl w:ilvl="4" w:tplc="6F58EC9E" w:tentative="1">
      <w:start w:val="1"/>
      <w:numFmt w:val="lowerLetter"/>
      <w:lvlText w:val="%5."/>
      <w:lvlJc w:val="left"/>
      <w:pPr>
        <w:tabs>
          <w:tab w:val="num" w:pos="3600"/>
        </w:tabs>
        <w:ind w:left="3600" w:hanging="360"/>
      </w:pPr>
    </w:lvl>
    <w:lvl w:ilvl="5" w:tplc="2B26987E" w:tentative="1">
      <w:start w:val="1"/>
      <w:numFmt w:val="lowerRoman"/>
      <w:lvlText w:val="%6."/>
      <w:lvlJc w:val="right"/>
      <w:pPr>
        <w:tabs>
          <w:tab w:val="num" w:pos="4320"/>
        </w:tabs>
        <w:ind w:left="4320" w:hanging="180"/>
      </w:pPr>
    </w:lvl>
    <w:lvl w:ilvl="6" w:tplc="A0847128" w:tentative="1">
      <w:start w:val="1"/>
      <w:numFmt w:val="decimal"/>
      <w:lvlText w:val="%7."/>
      <w:lvlJc w:val="left"/>
      <w:pPr>
        <w:tabs>
          <w:tab w:val="num" w:pos="5040"/>
        </w:tabs>
        <w:ind w:left="5040" w:hanging="360"/>
      </w:pPr>
    </w:lvl>
    <w:lvl w:ilvl="7" w:tplc="997251B0" w:tentative="1">
      <w:start w:val="1"/>
      <w:numFmt w:val="lowerLetter"/>
      <w:lvlText w:val="%8."/>
      <w:lvlJc w:val="left"/>
      <w:pPr>
        <w:tabs>
          <w:tab w:val="num" w:pos="5760"/>
        </w:tabs>
        <w:ind w:left="5760" w:hanging="360"/>
      </w:pPr>
    </w:lvl>
    <w:lvl w:ilvl="8" w:tplc="3CEED62A" w:tentative="1">
      <w:start w:val="1"/>
      <w:numFmt w:val="lowerRoman"/>
      <w:lvlText w:val="%9."/>
      <w:lvlJc w:val="right"/>
      <w:pPr>
        <w:tabs>
          <w:tab w:val="num" w:pos="6480"/>
        </w:tabs>
        <w:ind w:left="6480" w:hanging="180"/>
      </w:pPr>
    </w:lvl>
  </w:abstractNum>
  <w:abstractNum w:abstractNumId="13" w15:restartNumberingAfterBreak="0">
    <w:nsid w:val="57F2222A"/>
    <w:multiLevelType w:val="hybridMultilevel"/>
    <w:tmpl w:val="914C968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642F3AFA"/>
    <w:multiLevelType w:val="hybridMultilevel"/>
    <w:tmpl w:val="9DF09BE6"/>
    <w:lvl w:ilvl="0" w:tplc="4BBCD224">
      <w:start w:val="1"/>
      <w:numFmt w:val="decimal"/>
      <w:lvlText w:val="%1."/>
      <w:lvlJc w:val="left"/>
      <w:pPr>
        <w:tabs>
          <w:tab w:val="num" w:pos="1057"/>
        </w:tabs>
        <w:ind w:left="1057" w:hanging="360"/>
      </w:pPr>
      <w:rPr>
        <w:rFonts w:hint="default"/>
      </w:rPr>
    </w:lvl>
    <w:lvl w:ilvl="1" w:tplc="41B8B636" w:tentative="1">
      <w:start w:val="1"/>
      <w:numFmt w:val="lowerLetter"/>
      <w:lvlText w:val="%2."/>
      <w:lvlJc w:val="left"/>
      <w:pPr>
        <w:tabs>
          <w:tab w:val="num" w:pos="2137"/>
        </w:tabs>
        <w:ind w:left="2137" w:hanging="360"/>
      </w:pPr>
    </w:lvl>
    <w:lvl w:ilvl="2" w:tplc="B9CAE888" w:tentative="1">
      <w:start w:val="1"/>
      <w:numFmt w:val="lowerRoman"/>
      <w:lvlText w:val="%3."/>
      <w:lvlJc w:val="right"/>
      <w:pPr>
        <w:tabs>
          <w:tab w:val="num" w:pos="2857"/>
        </w:tabs>
        <w:ind w:left="2857" w:hanging="180"/>
      </w:pPr>
    </w:lvl>
    <w:lvl w:ilvl="3" w:tplc="6DE09006" w:tentative="1">
      <w:start w:val="1"/>
      <w:numFmt w:val="decimal"/>
      <w:lvlText w:val="%4."/>
      <w:lvlJc w:val="left"/>
      <w:pPr>
        <w:tabs>
          <w:tab w:val="num" w:pos="3577"/>
        </w:tabs>
        <w:ind w:left="3577" w:hanging="360"/>
      </w:pPr>
    </w:lvl>
    <w:lvl w:ilvl="4" w:tplc="ADF6244E" w:tentative="1">
      <w:start w:val="1"/>
      <w:numFmt w:val="lowerLetter"/>
      <w:lvlText w:val="%5."/>
      <w:lvlJc w:val="left"/>
      <w:pPr>
        <w:tabs>
          <w:tab w:val="num" w:pos="4297"/>
        </w:tabs>
        <w:ind w:left="4297" w:hanging="360"/>
      </w:pPr>
    </w:lvl>
    <w:lvl w:ilvl="5" w:tplc="23CCB846" w:tentative="1">
      <w:start w:val="1"/>
      <w:numFmt w:val="lowerRoman"/>
      <w:lvlText w:val="%6."/>
      <w:lvlJc w:val="right"/>
      <w:pPr>
        <w:tabs>
          <w:tab w:val="num" w:pos="5017"/>
        </w:tabs>
        <w:ind w:left="5017" w:hanging="180"/>
      </w:pPr>
    </w:lvl>
    <w:lvl w:ilvl="6" w:tplc="EE1AEF90" w:tentative="1">
      <w:start w:val="1"/>
      <w:numFmt w:val="decimal"/>
      <w:lvlText w:val="%7."/>
      <w:lvlJc w:val="left"/>
      <w:pPr>
        <w:tabs>
          <w:tab w:val="num" w:pos="5737"/>
        </w:tabs>
        <w:ind w:left="5737" w:hanging="360"/>
      </w:pPr>
    </w:lvl>
    <w:lvl w:ilvl="7" w:tplc="22E61982" w:tentative="1">
      <w:start w:val="1"/>
      <w:numFmt w:val="lowerLetter"/>
      <w:lvlText w:val="%8."/>
      <w:lvlJc w:val="left"/>
      <w:pPr>
        <w:tabs>
          <w:tab w:val="num" w:pos="6457"/>
        </w:tabs>
        <w:ind w:left="6457" w:hanging="360"/>
      </w:pPr>
    </w:lvl>
    <w:lvl w:ilvl="8" w:tplc="F4C6193A" w:tentative="1">
      <w:start w:val="1"/>
      <w:numFmt w:val="lowerRoman"/>
      <w:lvlText w:val="%9."/>
      <w:lvlJc w:val="right"/>
      <w:pPr>
        <w:tabs>
          <w:tab w:val="num" w:pos="7177"/>
        </w:tabs>
        <w:ind w:left="7177" w:hanging="180"/>
      </w:pPr>
    </w:lvl>
  </w:abstractNum>
  <w:abstractNum w:abstractNumId="15" w15:restartNumberingAfterBreak="0">
    <w:nsid w:val="7212657C"/>
    <w:multiLevelType w:val="hybridMultilevel"/>
    <w:tmpl w:val="0A8E2A84"/>
    <w:lvl w:ilvl="0" w:tplc="877AEFBC">
      <w:start w:val="1"/>
      <w:numFmt w:val="decimal"/>
      <w:pStyle w:val="ATSNumber1"/>
      <w:lvlText w:val="%1)"/>
      <w:lvlJc w:val="left"/>
      <w:pPr>
        <w:tabs>
          <w:tab w:val="num" w:pos="720"/>
        </w:tabs>
        <w:ind w:left="720" w:hanging="360"/>
      </w:pPr>
    </w:lvl>
    <w:lvl w:ilvl="1" w:tplc="B3903C0C" w:tentative="1">
      <w:start w:val="1"/>
      <w:numFmt w:val="lowerLetter"/>
      <w:lvlText w:val="%2."/>
      <w:lvlJc w:val="left"/>
      <w:pPr>
        <w:tabs>
          <w:tab w:val="num" w:pos="1440"/>
        </w:tabs>
        <w:ind w:left="1440" w:hanging="360"/>
      </w:pPr>
    </w:lvl>
    <w:lvl w:ilvl="2" w:tplc="1A7693CE" w:tentative="1">
      <w:start w:val="1"/>
      <w:numFmt w:val="lowerRoman"/>
      <w:lvlText w:val="%3."/>
      <w:lvlJc w:val="right"/>
      <w:pPr>
        <w:tabs>
          <w:tab w:val="num" w:pos="2160"/>
        </w:tabs>
        <w:ind w:left="2160" w:hanging="180"/>
      </w:pPr>
    </w:lvl>
    <w:lvl w:ilvl="3" w:tplc="E6528C04" w:tentative="1">
      <w:start w:val="1"/>
      <w:numFmt w:val="decimal"/>
      <w:lvlText w:val="%4."/>
      <w:lvlJc w:val="left"/>
      <w:pPr>
        <w:tabs>
          <w:tab w:val="num" w:pos="2880"/>
        </w:tabs>
        <w:ind w:left="2880" w:hanging="360"/>
      </w:pPr>
    </w:lvl>
    <w:lvl w:ilvl="4" w:tplc="0D2A5CCC" w:tentative="1">
      <w:start w:val="1"/>
      <w:numFmt w:val="lowerLetter"/>
      <w:lvlText w:val="%5."/>
      <w:lvlJc w:val="left"/>
      <w:pPr>
        <w:tabs>
          <w:tab w:val="num" w:pos="3600"/>
        </w:tabs>
        <w:ind w:left="3600" w:hanging="360"/>
      </w:pPr>
    </w:lvl>
    <w:lvl w:ilvl="5" w:tplc="944EEE9E" w:tentative="1">
      <w:start w:val="1"/>
      <w:numFmt w:val="lowerRoman"/>
      <w:lvlText w:val="%6."/>
      <w:lvlJc w:val="right"/>
      <w:pPr>
        <w:tabs>
          <w:tab w:val="num" w:pos="4320"/>
        </w:tabs>
        <w:ind w:left="4320" w:hanging="180"/>
      </w:pPr>
    </w:lvl>
    <w:lvl w:ilvl="6" w:tplc="ACDC11B4" w:tentative="1">
      <w:start w:val="1"/>
      <w:numFmt w:val="decimal"/>
      <w:lvlText w:val="%7."/>
      <w:lvlJc w:val="left"/>
      <w:pPr>
        <w:tabs>
          <w:tab w:val="num" w:pos="5040"/>
        </w:tabs>
        <w:ind w:left="5040" w:hanging="360"/>
      </w:pPr>
    </w:lvl>
    <w:lvl w:ilvl="7" w:tplc="7C009FB4" w:tentative="1">
      <w:start w:val="1"/>
      <w:numFmt w:val="lowerLetter"/>
      <w:lvlText w:val="%8."/>
      <w:lvlJc w:val="left"/>
      <w:pPr>
        <w:tabs>
          <w:tab w:val="num" w:pos="5760"/>
        </w:tabs>
        <w:ind w:left="5760" w:hanging="360"/>
      </w:pPr>
    </w:lvl>
    <w:lvl w:ilvl="8" w:tplc="4E047E16" w:tentative="1">
      <w:start w:val="1"/>
      <w:numFmt w:val="lowerRoman"/>
      <w:lvlText w:val="%9."/>
      <w:lvlJc w:val="right"/>
      <w:pPr>
        <w:tabs>
          <w:tab w:val="num" w:pos="6480"/>
        </w:tabs>
        <w:ind w:left="6480" w:hanging="180"/>
      </w:pPr>
    </w:lvl>
  </w:abstractNum>
  <w:abstractNum w:abstractNumId="16" w15:restartNumberingAfterBreak="0">
    <w:nsid w:val="743D2161"/>
    <w:multiLevelType w:val="hybridMultilevel"/>
    <w:tmpl w:val="B0868D9E"/>
    <w:lvl w:ilvl="0" w:tplc="7E1EB228">
      <w:start w:val="1"/>
      <w:numFmt w:val="bullet"/>
      <w:pStyle w:val="ATSBullet2"/>
      <w:lvlText w:val="-"/>
      <w:lvlJc w:val="left"/>
      <w:pPr>
        <w:tabs>
          <w:tab w:val="num" w:pos="1080"/>
        </w:tabs>
        <w:ind w:left="1080" w:hanging="360"/>
      </w:pPr>
      <w:rPr>
        <w:rFonts w:ascii="Times New Roman" w:hAnsi="Times New Roman" w:cs="Times New Roman" w:hint="default"/>
        <w:color w:val="auto"/>
      </w:rPr>
    </w:lvl>
    <w:lvl w:ilvl="1" w:tplc="2F9CF794" w:tentative="1">
      <w:start w:val="1"/>
      <w:numFmt w:val="bullet"/>
      <w:lvlText w:val="o"/>
      <w:lvlJc w:val="left"/>
      <w:pPr>
        <w:tabs>
          <w:tab w:val="num" w:pos="2517"/>
        </w:tabs>
        <w:ind w:left="2517" w:hanging="360"/>
      </w:pPr>
      <w:rPr>
        <w:rFonts w:ascii="Courier New" w:hAnsi="Courier New" w:cs="Courier New" w:hint="default"/>
      </w:rPr>
    </w:lvl>
    <w:lvl w:ilvl="2" w:tplc="824C088C" w:tentative="1">
      <w:start w:val="1"/>
      <w:numFmt w:val="bullet"/>
      <w:lvlText w:val=""/>
      <w:lvlJc w:val="left"/>
      <w:pPr>
        <w:tabs>
          <w:tab w:val="num" w:pos="3237"/>
        </w:tabs>
        <w:ind w:left="3237" w:hanging="360"/>
      </w:pPr>
      <w:rPr>
        <w:rFonts w:ascii="Wingdings" w:hAnsi="Wingdings" w:hint="default"/>
      </w:rPr>
    </w:lvl>
    <w:lvl w:ilvl="3" w:tplc="56E65064" w:tentative="1">
      <w:start w:val="1"/>
      <w:numFmt w:val="bullet"/>
      <w:lvlText w:val=""/>
      <w:lvlJc w:val="left"/>
      <w:pPr>
        <w:tabs>
          <w:tab w:val="num" w:pos="3957"/>
        </w:tabs>
        <w:ind w:left="3957" w:hanging="360"/>
      </w:pPr>
      <w:rPr>
        <w:rFonts w:ascii="Symbol" w:hAnsi="Symbol" w:hint="default"/>
      </w:rPr>
    </w:lvl>
    <w:lvl w:ilvl="4" w:tplc="A4B083B4" w:tentative="1">
      <w:start w:val="1"/>
      <w:numFmt w:val="bullet"/>
      <w:lvlText w:val="o"/>
      <w:lvlJc w:val="left"/>
      <w:pPr>
        <w:tabs>
          <w:tab w:val="num" w:pos="4677"/>
        </w:tabs>
        <w:ind w:left="4677" w:hanging="360"/>
      </w:pPr>
      <w:rPr>
        <w:rFonts w:ascii="Courier New" w:hAnsi="Courier New" w:cs="Courier New" w:hint="default"/>
      </w:rPr>
    </w:lvl>
    <w:lvl w:ilvl="5" w:tplc="1D000592" w:tentative="1">
      <w:start w:val="1"/>
      <w:numFmt w:val="bullet"/>
      <w:lvlText w:val=""/>
      <w:lvlJc w:val="left"/>
      <w:pPr>
        <w:tabs>
          <w:tab w:val="num" w:pos="5397"/>
        </w:tabs>
        <w:ind w:left="5397" w:hanging="360"/>
      </w:pPr>
      <w:rPr>
        <w:rFonts w:ascii="Wingdings" w:hAnsi="Wingdings" w:hint="default"/>
      </w:rPr>
    </w:lvl>
    <w:lvl w:ilvl="6" w:tplc="F7FAB6D8" w:tentative="1">
      <w:start w:val="1"/>
      <w:numFmt w:val="bullet"/>
      <w:lvlText w:val=""/>
      <w:lvlJc w:val="left"/>
      <w:pPr>
        <w:tabs>
          <w:tab w:val="num" w:pos="6117"/>
        </w:tabs>
        <w:ind w:left="6117" w:hanging="360"/>
      </w:pPr>
      <w:rPr>
        <w:rFonts w:ascii="Symbol" w:hAnsi="Symbol" w:hint="default"/>
      </w:rPr>
    </w:lvl>
    <w:lvl w:ilvl="7" w:tplc="087CEDDA" w:tentative="1">
      <w:start w:val="1"/>
      <w:numFmt w:val="bullet"/>
      <w:lvlText w:val="o"/>
      <w:lvlJc w:val="left"/>
      <w:pPr>
        <w:tabs>
          <w:tab w:val="num" w:pos="6837"/>
        </w:tabs>
        <w:ind w:left="6837" w:hanging="360"/>
      </w:pPr>
      <w:rPr>
        <w:rFonts w:ascii="Courier New" w:hAnsi="Courier New" w:cs="Courier New" w:hint="default"/>
      </w:rPr>
    </w:lvl>
    <w:lvl w:ilvl="8" w:tplc="8236EB90" w:tentative="1">
      <w:start w:val="1"/>
      <w:numFmt w:val="bullet"/>
      <w:lvlText w:val=""/>
      <w:lvlJc w:val="left"/>
      <w:pPr>
        <w:tabs>
          <w:tab w:val="num" w:pos="7557"/>
        </w:tabs>
        <w:ind w:left="7557" w:hanging="360"/>
      </w:pPr>
      <w:rPr>
        <w:rFonts w:ascii="Wingdings" w:hAnsi="Wingdings" w:hint="default"/>
      </w:rPr>
    </w:lvl>
  </w:abstractNum>
  <w:abstractNum w:abstractNumId="17" w15:restartNumberingAfterBreak="0">
    <w:nsid w:val="7C866FC0"/>
    <w:multiLevelType w:val="hybridMultilevel"/>
    <w:tmpl w:val="57EA2900"/>
    <w:lvl w:ilvl="0" w:tplc="47B8CFBA">
      <w:start w:val="1"/>
      <w:numFmt w:val="decimal"/>
      <w:pStyle w:val="ATSNumber2"/>
      <w:lvlText w:val="%1."/>
      <w:lvlJc w:val="left"/>
      <w:pPr>
        <w:tabs>
          <w:tab w:val="num" w:pos="720"/>
        </w:tabs>
        <w:ind w:left="720" w:hanging="360"/>
      </w:pPr>
      <w:rPr>
        <w:rFonts w:hint="default"/>
      </w:rPr>
    </w:lvl>
    <w:lvl w:ilvl="1" w:tplc="96CA360A" w:tentative="1">
      <w:start w:val="1"/>
      <w:numFmt w:val="lowerLetter"/>
      <w:lvlText w:val="%2."/>
      <w:lvlJc w:val="left"/>
      <w:pPr>
        <w:tabs>
          <w:tab w:val="num" w:pos="1440"/>
        </w:tabs>
        <w:ind w:left="1440" w:hanging="360"/>
      </w:pPr>
    </w:lvl>
    <w:lvl w:ilvl="2" w:tplc="98A8DE14" w:tentative="1">
      <w:start w:val="1"/>
      <w:numFmt w:val="lowerRoman"/>
      <w:lvlText w:val="%3."/>
      <w:lvlJc w:val="right"/>
      <w:pPr>
        <w:tabs>
          <w:tab w:val="num" w:pos="2160"/>
        </w:tabs>
        <w:ind w:left="2160" w:hanging="180"/>
      </w:pPr>
    </w:lvl>
    <w:lvl w:ilvl="3" w:tplc="282C82AC" w:tentative="1">
      <w:start w:val="1"/>
      <w:numFmt w:val="decimal"/>
      <w:lvlText w:val="%4."/>
      <w:lvlJc w:val="left"/>
      <w:pPr>
        <w:tabs>
          <w:tab w:val="num" w:pos="2880"/>
        </w:tabs>
        <w:ind w:left="2880" w:hanging="360"/>
      </w:pPr>
    </w:lvl>
    <w:lvl w:ilvl="4" w:tplc="6E32D8CC" w:tentative="1">
      <w:start w:val="1"/>
      <w:numFmt w:val="lowerLetter"/>
      <w:lvlText w:val="%5."/>
      <w:lvlJc w:val="left"/>
      <w:pPr>
        <w:tabs>
          <w:tab w:val="num" w:pos="3600"/>
        </w:tabs>
        <w:ind w:left="3600" w:hanging="360"/>
      </w:pPr>
    </w:lvl>
    <w:lvl w:ilvl="5" w:tplc="9140C7F6" w:tentative="1">
      <w:start w:val="1"/>
      <w:numFmt w:val="lowerRoman"/>
      <w:lvlText w:val="%6."/>
      <w:lvlJc w:val="right"/>
      <w:pPr>
        <w:tabs>
          <w:tab w:val="num" w:pos="4320"/>
        </w:tabs>
        <w:ind w:left="4320" w:hanging="180"/>
      </w:pPr>
    </w:lvl>
    <w:lvl w:ilvl="6" w:tplc="AA9C9AF0" w:tentative="1">
      <w:start w:val="1"/>
      <w:numFmt w:val="decimal"/>
      <w:lvlText w:val="%7."/>
      <w:lvlJc w:val="left"/>
      <w:pPr>
        <w:tabs>
          <w:tab w:val="num" w:pos="5040"/>
        </w:tabs>
        <w:ind w:left="5040" w:hanging="360"/>
      </w:pPr>
    </w:lvl>
    <w:lvl w:ilvl="7" w:tplc="7B46A2EA" w:tentative="1">
      <w:start w:val="1"/>
      <w:numFmt w:val="lowerLetter"/>
      <w:lvlText w:val="%8."/>
      <w:lvlJc w:val="left"/>
      <w:pPr>
        <w:tabs>
          <w:tab w:val="num" w:pos="5760"/>
        </w:tabs>
        <w:ind w:left="5760" w:hanging="360"/>
      </w:pPr>
    </w:lvl>
    <w:lvl w:ilvl="8" w:tplc="548E508E"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6"/>
  </w:num>
  <w:num w:numId="13">
    <w:abstractNumId w:val="15"/>
  </w:num>
  <w:num w:numId="14">
    <w:abstractNumId w:val="12"/>
  </w:num>
  <w:num w:numId="15">
    <w:abstractNumId w:val="14"/>
  </w:num>
  <w:num w:numId="16">
    <w:abstractNumId w:val="10"/>
  </w:num>
  <w:num w:numId="17">
    <w:abstractNumId w:val="11"/>
  </w:num>
  <w:num w:numId="18">
    <w:abstractNumId w:val="16"/>
  </w:num>
  <w:num w:numId="19">
    <w:abstractNumId w:val="15"/>
  </w:num>
  <w:num w:numId="20">
    <w:abstractNumId w:val="17"/>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8E3"/>
    <w:rsid w:val="00066F68"/>
    <w:rsid w:val="00215037"/>
    <w:rsid w:val="00885956"/>
    <w:rsid w:val="00A023D5"/>
    <w:rsid w:val="00BC6AE2"/>
    <w:rsid w:val="00E308E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46FBC6"/>
  <w15:chartTrackingRefBased/>
  <w15:docId w15:val="{54F76743-400D-4C28-A3D5-D6D199D6D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AR" w:eastAsia="es-AR" w:bidi="ar-SA"/>
      </w:rPr>
    </w:rPrDefault>
    <w:pPrDefault/>
  </w:docDefaults>
  <w:latentStyles w:defLockedState="0" w:defUIPriority="0" w:defSemiHidden="0" w:defUnhideWhenUsed="0" w:defQFormat="0" w:count="376">
    <w:lsdException w:name="Normal" w:qFormat="1"/>
    <w:lsdException w:name="caption" w:semiHidden="1" w:unhideWhenUs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89F"/>
    <w:rPr>
      <w:sz w:val="22"/>
      <w:szCs w:val="24"/>
      <w:lang w:val="en-GB" w:eastAsia="en-US"/>
    </w:rPr>
  </w:style>
  <w:style w:type="paragraph" w:styleId="Ttulo1">
    <w:name w:val="heading 1"/>
    <w:basedOn w:val="Normal"/>
    <w:next w:val="Normal"/>
    <w:rsid w:val="001B789F"/>
    <w:pPr>
      <w:keepNext/>
      <w:spacing w:before="180" w:after="360"/>
      <w:jc w:val="center"/>
      <w:outlineLvl w:val="0"/>
    </w:pPr>
    <w:rPr>
      <w:rFonts w:ascii="Arial" w:hAnsi="Arial"/>
      <w:b/>
      <w:kern w:val="28"/>
      <w:sz w:val="32"/>
      <w:szCs w:val="20"/>
    </w:rPr>
  </w:style>
  <w:style w:type="paragraph" w:styleId="Ttulo2">
    <w:name w:val="heading 2"/>
    <w:basedOn w:val="Normal"/>
    <w:next w:val="Normal"/>
    <w:rsid w:val="001B789F"/>
    <w:pPr>
      <w:keepNext/>
      <w:spacing w:before="120" w:after="240"/>
      <w:outlineLvl w:val="1"/>
    </w:pPr>
    <w:rPr>
      <w:b/>
      <w:i/>
      <w:sz w:val="28"/>
      <w:szCs w:val="20"/>
    </w:rPr>
  </w:style>
  <w:style w:type="paragraph" w:styleId="Ttulo3">
    <w:name w:val="heading 3"/>
    <w:basedOn w:val="Normal"/>
    <w:next w:val="Normal"/>
    <w:rsid w:val="001B789F"/>
    <w:pPr>
      <w:keepNext/>
      <w:spacing w:before="120" w:after="180"/>
      <w:outlineLvl w:val="2"/>
    </w:pPr>
    <w:rPr>
      <w:rFonts w:eastAsia="SimSun"/>
      <w:b/>
      <w:sz w:val="24"/>
      <w:szCs w:val="20"/>
      <w:lang w:eastAsia="zh-CN"/>
    </w:rPr>
  </w:style>
  <w:style w:type="paragraph" w:styleId="Ttulo4">
    <w:name w:val="heading 4"/>
    <w:basedOn w:val="Normal"/>
    <w:next w:val="Normal"/>
    <w:rsid w:val="001B789F"/>
    <w:pPr>
      <w:keepNext/>
      <w:spacing w:before="60" w:after="120"/>
      <w:outlineLvl w:val="3"/>
    </w:pPr>
    <w:rPr>
      <w:b/>
      <w:bCs/>
      <w:i/>
      <w:szCs w:val="28"/>
    </w:rPr>
  </w:style>
  <w:style w:type="paragraph" w:styleId="Ttulo5">
    <w:name w:val="heading 5"/>
    <w:basedOn w:val="Normal"/>
    <w:next w:val="Normal"/>
    <w:rsid w:val="001B789F"/>
    <w:pPr>
      <w:spacing w:before="240" w:after="60"/>
      <w:outlineLvl w:val="4"/>
    </w:pPr>
    <w:rPr>
      <w:b/>
      <w:bCs/>
      <w:i/>
      <w:iCs/>
      <w:sz w:val="26"/>
      <w:szCs w:val="26"/>
    </w:rPr>
  </w:style>
  <w:style w:type="paragraph" w:styleId="Ttulo6">
    <w:name w:val="heading 6"/>
    <w:basedOn w:val="Normal"/>
    <w:next w:val="Normal"/>
    <w:rsid w:val="001B789F"/>
    <w:pPr>
      <w:spacing w:before="240" w:after="60"/>
      <w:outlineLvl w:val="5"/>
    </w:pPr>
    <w:rPr>
      <w:b/>
      <w:bCs/>
      <w:szCs w:val="22"/>
    </w:rPr>
  </w:style>
  <w:style w:type="paragraph" w:styleId="Ttulo7">
    <w:name w:val="heading 7"/>
    <w:basedOn w:val="Normal"/>
    <w:next w:val="Normal"/>
    <w:rsid w:val="001B789F"/>
    <w:pPr>
      <w:spacing w:before="240" w:after="60"/>
      <w:outlineLvl w:val="6"/>
    </w:pPr>
    <w:rPr>
      <w:sz w:val="24"/>
    </w:rPr>
  </w:style>
  <w:style w:type="paragraph" w:styleId="Ttulo8">
    <w:name w:val="heading 8"/>
    <w:basedOn w:val="Normal"/>
    <w:next w:val="Normal"/>
    <w:rsid w:val="001B789F"/>
    <w:pPr>
      <w:spacing w:before="240" w:after="60"/>
      <w:outlineLvl w:val="7"/>
    </w:pPr>
    <w:rPr>
      <w:i/>
      <w:iCs/>
      <w:sz w:val="24"/>
    </w:rPr>
  </w:style>
  <w:style w:type="paragraph" w:styleId="Ttulo9">
    <w:name w:val="heading 9"/>
    <w:basedOn w:val="Normal"/>
    <w:next w:val="Normal"/>
    <w:rsid w:val="001B789F"/>
    <w:pPr>
      <w:spacing w:before="240" w:after="60"/>
      <w:outlineLvl w:val="8"/>
    </w:pPr>
    <w:rPr>
      <w:rFonts w:ascii="Arial" w:hAnsi="Arial"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TSNormal">
    <w:name w:val="ATS Normal"/>
    <w:basedOn w:val="Normal"/>
    <w:qFormat/>
    <w:rsid w:val="001B789F"/>
    <w:pPr>
      <w:spacing w:before="120" w:after="120"/>
    </w:pPr>
    <w:rPr>
      <w:lang w:eastAsia="en-GB"/>
    </w:rPr>
  </w:style>
  <w:style w:type="paragraph" w:customStyle="1" w:styleId="ATSBullet1">
    <w:name w:val="ATS Bullet 1"/>
    <w:basedOn w:val="ATSNormal"/>
    <w:qFormat/>
    <w:rsid w:val="001B789F"/>
    <w:pPr>
      <w:numPr>
        <w:numId w:val="17"/>
      </w:numPr>
      <w:spacing w:before="60" w:after="0"/>
    </w:pPr>
  </w:style>
  <w:style w:type="paragraph" w:customStyle="1" w:styleId="ATSBullet2">
    <w:name w:val="ATS Bullet 2"/>
    <w:basedOn w:val="ATSNormal"/>
    <w:qFormat/>
    <w:rsid w:val="001B789F"/>
    <w:pPr>
      <w:numPr>
        <w:numId w:val="18"/>
      </w:numPr>
      <w:tabs>
        <w:tab w:val="left" w:pos="720"/>
      </w:tabs>
      <w:spacing w:before="60" w:after="0"/>
    </w:pPr>
  </w:style>
  <w:style w:type="paragraph" w:customStyle="1" w:styleId="ATSCompact">
    <w:name w:val="ATS Compact"/>
    <w:basedOn w:val="ATSNormal"/>
    <w:qFormat/>
    <w:rsid w:val="001B789F"/>
    <w:pPr>
      <w:spacing w:before="0" w:after="0"/>
    </w:pPr>
  </w:style>
  <w:style w:type="paragraph" w:customStyle="1" w:styleId="ATSHeading1">
    <w:name w:val="ATS Heading 1"/>
    <w:basedOn w:val="ATSNormal"/>
    <w:next w:val="ATSNormal"/>
    <w:qFormat/>
    <w:rsid w:val="001B789F"/>
    <w:pPr>
      <w:spacing w:before="360" w:after="360"/>
      <w:jc w:val="center"/>
    </w:pPr>
    <w:rPr>
      <w:rFonts w:ascii="Arial" w:hAnsi="Arial"/>
      <w:b/>
      <w:sz w:val="32"/>
    </w:rPr>
  </w:style>
  <w:style w:type="paragraph" w:customStyle="1" w:styleId="ATSHeading2">
    <w:name w:val="ATS Heading 2"/>
    <w:basedOn w:val="ATSNormal"/>
    <w:next w:val="ATSNormal"/>
    <w:link w:val="ATSHeading2Char"/>
    <w:qFormat/>
    <w:rsid w:val="001B789F"/>
    <w:pPr>
      <w:spacing w:before="480"/>
      <w:jc w:val="both"/>
    </w:pPr>
    <w:rPr>
      <w:rFonts w:ascii="Arial" w:hAnsi="Arial"/>
      <w:b/>
      <w:i/>
      <w:sz w:val="24"/>
      <w:szCs w:val="22"/>
    </w:rPr>
  </w:style>
  <w:style w:type="paragraph" w:customStyle="1" w:styleId="ATSHeading3">
    <w:name w:val="ATS Heading 3"/>
    <w:basedOn w:val="ATSNormal"/>
    <w:next w:val="ATSNormal"/>
    <w:qFormat/>
    <w:rsid w:val="001B789F"/>
    <w:pPr>
      <w:spacing w:before="240" w:after="60"/>
    </w:pPr>
    <w:rPr>
      <w:b/>
    </w:rPr>
  </w:style>
  <w:style w:type="paragraph" w:customStyle="1" w:styleId="ATSHeading4">
    <w:name w:val="ATS Heading 4"/>
    <w:basedOn w:val="ATSNormal"/>
    <w:next w:val="ATSNormal"/>
    <w:qFormat/>
    <w:rsid w:val="001B789F"/>
    <w:pPr>
      <w:spacing w:before="240" w:after="60"/>
    </w:pPr>
    <w:rPr>
      <w:i/>
    </w:rPr>
  </w:style>
  <w:style w:type="paragraph" w:customStyle="1" w:styleId="AtsNumber">
    <w:name w:val="Ats Number"/>
    <w:basedOn w:val="ATSNormal"/>
    <w:qFormat/>
    <w:rsid w:val="001B789F"/>
    <w:pPr>
      <w:spacing w:before="60" w:after="0"/>
    </w:pPr>
  </w:style>
  <w:style w:type="paragraph" w:customStyle="1" w:styleId="ATSNumber1">
    <w:name w:val="ATS Number 1"/>
    <w:basedOn w:val="ATSNormal"/>
    <w:qFormat/>
    <w:rsid w:val="001B789F"/>
    <w:pPr>
      <w:numPr>
        <w:numId w:val="19"/>
      </w:numPr>
      <w:spacing w:before="60" w:after="0"/>
    </w:pPr>
  </w:style>
  <w:style w:type="paragraph" w:customStyle="1" w:styleId="ATSNumber2">
    <w:name w:val="ATS Number 2"/>
    <w:basedOn w:val="ATSNormal"/>
    <w:autoRedefine/>
    <w:qFormat/>
    <w:rsid w:val="001B789F"/>
    <w:pPr>
      <w:numPr>
        <w:numId w:val="20"/>
      </w:numPr>
      <w:spacing w:after="0"/>
      <w:jc w:val="both"/>
    </w:pPr>
  </w:style>
  <w:style w:type="paragraph" w:customStyle="1" w:styleId="ATSQuote">
    <w:name w:val="ATS Quote"/>
    <w:basedOn w:val="Normal"/>
    <w:qFormat/>
    <w:rsid w:val="001B789F"/>
    <w:pPr>
      <w:ind w:left="357"/>
    </w:pPr>
    <w:rPr>
      <w:i/>
      <w:szCs w:val="18"/>
    </w:rPr>
  </w:style>
  <w:style w:type="paragraph" w:customStyle="1" w:styleId="ATSTitle">
    <w:name w:val="ATS Title"/>
    <w:basedOn w:val="Normal"/>
    <w:qFormat/>
    <w:rsid w:val="001B789F"/>
    <w:pPr>
      <w:spacing w:before="360" w:after="360"/>
      <w:contextualSpacing/>
      <w:jc w:val="center"/>
    </w:pPr>
    <w:rPr>
      <w:rFonts w:ascii="Arial" w:hAnsi="Arial"/>
      <w:b/>
      <w:sz w:val="48"/>
    </w:rPr>
  </w:style>
  <w:style w:type="paragraph" w:styleId="Textodeglobo">
    <w:name w:val="Balloon Text"/>
    <w:basedOn w:val="Normal"/>
    <w:semiHidden/>
    <w:rsid w:val="001B789F"/>
    <w:rPr>
      <w:rFonts w:ascii="Tahoma" w:hAnsi="Tahoma" w:cs="Tahoma"/>
      <w:sz w:val="16"/>
      <w:szCs w:val="16"/>
    </w:rPr>
  </w:style>
  <w:style w:type="character" w:customStyle="1" w:styleId="BodyTextChar">
    <w:name w:val="Body Text Char"/>
    <w:semiHidden/>
    <w:rsid w:val="001B789F"/>
    <w:rPr>
      <w:sz w:val="24"/>
      <w:szCs w:val="22"/>
      <w:lang w:val="en-US" w:eastAsia="zh-CN" w:bidi="ar-SA"/>
    </w:rPr>
  </w:style>
  <w:style w:type="character" w:customStyle="1" w:styleId="CharacterStyle1">
    <w:name w:val="Character Style 1"/>
    <w:semiHidden/>
    <w:rsid w:val="001B789F"/>
    <w:rPr>
      <w:sz w:val="22"/>
      <w:szCs w:val="22"/>
    </w:rPr>
  </w:style>
  <w:style w:type="character" w:customStyle="1" w:styleId="descriptions1">
    <w:name w:val="descriptions1"/>
    <w:semiHidden/>
    <w:rsid w:val="001B789F"/>
    <w:rPr>
      <w:rFonts w:ascii="Verdana" w:hAnsi="Verdana" w:hint="default"/>
      <w:b/>
      <w:bCs/>
      <w:i w:val="0"/>
      <w:iCs w:val="0"/>
      <w:caps w:val="0"/>
      <w:smallCaps w:val="0"/>
      <w:color w:val="585858"/>
      <w:sz w:val="12"/>
      <w:szCs w:val="12"/>
    </w:rPr>
  </w:style>
  <w:style w:type="paragraph" w:styleId="Mapadeldocumento">
    <w:name w:val="Document Map"/>
    <w:basedOn w:val="Normal"/>
    <w:semiHidden/>
    <w:rsid w:val="001B789F"/>
    <w:pPr>
      <w:shd w:val="clear" w:color="auto" w:fill="000080"/>
    </w:pPr>
    <w:rPr>
      <w:rFonts w:ascii="Tahoma" w:hAnsi="Tahoma" w:cs="Tahoma"/>
      <w:sz w:val="20"/>
      <w:szCs w:val="20"/>
    </w:rPr>
  </w:style>
  <w:style w:type="character" w:styleId="Refdenotaalfinal">
    <w:name w:val="endnote reference"/>
    <w:semiHidden/>
    <w:rsid w:val="001B789F"/>
    <w:rPr>
      <w:vertAlign w:val="superscript"/>
    </w:rPr>
  </w:style>
  <w:style w:type="paragraph" w:styleId="Textonotaalfinal">
    <w:name w:val="endnote text"/>
    <w:basedOn w:val="Normal"/>
    <w:semiHidden/>
    <w:rsid w:val="001B789F"/>
    <w:rPr>
      <w:sz w:val="20"/>
      <w:szCs w:val="20"/>
    </w:rPr>
  </w:style>
  <w:style w:type="character" w:styleId="Hipervnculovisitado">
    <w:name w:val="FollowedHyperlink"/>
    <w:semiHidden/>
    <w:rsid w:val="001B789F"/>
    <w:rPr>
      <w:color w:val="800080"/>
      <w:u w:val="single"/>
    </w:rPr>
  </w:style>
  <w:style w:type="paragraph" w:styleId="Piedepgina">
    <w:name w:val="footer"/>
    <w:basedOn w:val="Normal"/>
    <w:semiHidden/>
    <w:rsid w:val="001B789F"/>
    <w:pPr>
      <w:tabs>
        <w:tab w:val="center" w:pos="4419"/>
        <w:tab w:val="right" w:pos="8838"/>
      </w:tabs>
    </w:pPr>
  </w:style>
  <w:style w:type="character" w:styleId="Refdenotaalpie">
    <w:name w:val="footnote reference"/>
    <w:rsid w:val="001B789F"/>
    <w:rPr>
      <w:vertAlign w:val="superscript"/>
    </w:rPr>
  </w:style>
  <w:style w:type="paragraph" w:styleId="Textonotapie">
    <w:name w:val="footnote text"/>
    <w:basedOn w:val="Normal"/>
    <w:rsid w:val="001B789F"/>
    <w:rPr>
      <w:szCs w:val="22"/>
    </w:rPr>
  </w:style>
  <w:style w:type="paragraph" w:styleId="Encabezado">
    <w:name w:val="header"/>
    <w:basedOn w:val="Normal"/>
    <w:semiHidden/>
    <w:rsid w:val="001B789F"/>
    <w:pPr>
      <w:tabs>
        <w:tab w:val="center" w:pos="4419"/>
        <w:tab w:val="right" w:pos="8838"/>
      </w:tabs>
    </w:pPr>
  </w:style>
  <w:style w:type="character" w:styleId="Hipervnculo">
    <w:name w:val="Hyperlink"/>
    <w:semiHidden/>
    <w:rsid w:val="001B789F"/>
    <w:rPr>
      <w:color w:val="660000"/>
      <w:u w:val="single"/>
    </w:rPr>
  </w:style>
  <w:style w:type="paragraph" w:styleId="NormalWeb">
    <w:name w:val="Normal (Web)"/>
    <w:basedOn w:val="Normal"/>
    <w:semiHidden/>
    <w:rsid w:val="001B789F"/>
    <w:pPr>
      <w:spacing w:before="100" w:beforeAutospacing="1" w:after="100" w:afterAutospacing="1"/>
      <w:jc w:val="both"/>
    </w:pPr>
    <w:rPr>
      <w:sz w:val="24"/>
      <w:lang w:val="en-AU" w:eastAsia="en-AU"/>
    </w:rPr>
  </w:style>
  <w:style w:type="character" w:styleId="Nmerodepgina">
    <w:name w:val="page number"/>
    <w:basedOn w:val="Fuentedeprrafopredeter"/>
    <w:semiHidden/>
    <w:rsid w:val="001B789F"/>
  </w:style>
  <w:style w:type="character" w:styleId="Textoennegrita">
    <w:name w:val="Strong"/>
    <w:rsid w:val="001B789F"/>
    <w:rPr>
      <w:b/>
      <w:bCs/>
    </w:rPr>
  </w:style>
  <w:style w:type="table" w:styleId="Tablaconcuadrcula">
    <w:name w:val="Table Grid"/>
    <w:basedOn w:val="Tablanormal"/>
    <w:semiHidden/>
    <w:rsid w:val="001B78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1">
    <w:name w:val="tag1"/>
    <w:semiHidden/>
    <w:rsid w:val="001B789F"/>
    <w:rPr>
      <w:rFonts w:ascii="Verdana" w:hAnsi="Verdana" w:hint="default"/>
      <w:b w:val="0"/>
      <w:bCs w:val="0"/>
      <w:i w:val="0"/>
      <w:iCs w:val="0"/>
      <w:caps w:val="0"/>
      <w:smallCaps w:val="0"/>
      <w:strike w:val="0"/>
      <w:dstrike w:val="0"/>
      <w:color w:val="585858"/>
      <w:sz w:val="12"/>
      <w:szCs w:val="12"/>
      <w:u w:val="none"/>
      <w:effect w:val="none"/>
    </w:rPr>
  </w:style>
  <w:style w:type="paragraph" w:customStyle="1" w:styleId="TexteFr">
    <w:name w:val="TexteFr"/>
    <w:basedOn w:val="Normal"/>
    <w:semiHidden/>
    <w:rsid w:val="001B789F"/>
    <w:pPr>
      <w:pBdr>
        <w:top w:val="single" w:sz="4" w:space="1" w:color="auto"/>
        <w:left w:val="single" w:sz="4" w:space="4" w:color="auto"/>
        <w:bottom w:val="single" w:sz="4" w:space="1" w:color="auto"/>
        <w:right w:val="single" w:sz="4" w:space="4" w:color="auto"/>
      </w:pBdr>
      <w:shd w:val="pct10" w:color="000000" w:fill="auto"/>
      <w:tabs>
        <w:tab w:val="left" w:pos="1711"/>
        <w:tab w:val="left" w:pos="2209"/>
        <w:tab w:val="left" w:pos="2760"/>
        <w:tab w:val="left" w:pos="5101"/>
        <w:tab w:val="left" w:pos="5886"/>
        <w:tab w:val="left" w:pos="7128"/>
      </w:tabs>
      <w:ind w:left="272" w:hanging="272"/>
      <w:jc w:val="both"/>
    </w:pPr>
    <w:rPr>
      <w:szCs w:val="22"/>
      <w:lang w:val="fr-FR" w:eastAsia="en-AU"/>
    </w:rPr>
  </w:style>
  <w:style w:type="paragraph" w:customStyle="1" w:styleId="TextEn">
    <w:name w:val="TextEn"/>
    <w:basedOn w:val="Normal"/>
    <w:semiHidden/>
    <w:rsid w:val="001B789F"/>
    <w:pPr>
      <w:spacing w:after="120"/>
    </w:pPr>
    <w:rPr>
      <w:szCs w:val="22"/>
    </w:rPr>
  </w:style>
  <w:style w:type="paragraph" w:customStyle="1" w:styleId="TextEnSingle">
    <w:name w:val="TextEnSingle"/>
    <w:basedOn w:val="TextEn"/>
    <w:semiHidden/>
    <w:rsid w:val="001B789F"/>
    <w:pPr>
      <w:spacing w:after="0"/>
    </w:pPr>
  </w:style>
  <w:style w:type="paragraph" w:customStyle="1" w:styleId="TextSp">
    <w:name w:val="TextSp"/>
    <w:basedOn w:val="Normal"/>
    <w:semiHidden/>
    <w:rsid w:val="001B789F"/>
    <w:pPr>
      <w:spacing w:after="120"/>
    </w:pPr>
    <w:rPr>
      <w:szCs w:val="22"/>
      <w:lang w:val="es-AR" w:eastAsia="es-ES"/>
    </w:rPr>
  </w:style>
  <w:style w:type="paragraph" w:styleId="TDC1">
    <w:name w:val="toc 1"/>
    <w:basedOn w:val="Normal"/>
    <w:next w:val="Normal"/>
    <w:autoRedefine/>
    <w:semiHidden/>
    <w:rsid w:val="001B789F"/>
    <w:rPr>
      <w:b/>
      <w:bCs/>
      <w:i/>
      <w:iCs/>
      <w:sz w:val="24"/>
    </w:rPr>
  </w:style>
  <w:style w:type="paragraph" w:styleId="TDC2">
    <w:name w:val="toc 2"/>
    <w:basedOn w:val="Normal"/>
    <w:next w:val="Normal"/>
    <w:autoRedefine/>
    <w:semiHidden/>
    <w:rsid w:val="001B789F"/>
    <w:pPr>
      <w:ind w:left="220"/>
    </w:pPr>
    <w:rPr>
      <w:b/>
      <w:bCs/>
      <w:szCs w:val="22"/>
    </w:rPr>
  </w:style>
  <w:style w:type="paragraph" w:styleId="TDC3">
    <w:name w:val="toc 3"/>
    <w:basedOn w:val="Normal"/>
    <w:next w:val="Normal"/>
    <w:autoRedefine/>
    <w:semiHidden/>
    <w:rsid w:val="001B789F"/>
    <w:pPr>
      <w:ind w:left="440"/>
    </w:pPr>
    <w:rPr>
      <w:sz w:val="20"/>
      <w:szCs w:val="20"/>
    </w:rPr>
  </w:style>
  <w:style w:type="paragraph" w:styleId="TDC4">
    <w:name w:val="toc 4"/>
    <w:basedOn w:val="Normal"/>
    <w:next w:val="Normal"/>
    <w:autoRedefine/>
    <w:semiHidden/>
    <w:rsid w:val="001B789F"/>
    <w:pPr>
      <w:ind w:left="660"/>
    </w:pPr>
    <w:rPr>
      <w:sz w:val="20"/>
      <w:szCs w:val="20"/>
    </w:rPr>
  </w:style>
  <w:style w:type="paragraph" w:styleId="TDC5">
    <w:name w:val="toc 5"/>
    <w:basedOn w:val="Normal"/>
    <w:next w:val="Normal"/>
    <w:autoRedefine/>
    <w:semiHidden/>
    <w:rsid w:val="001B789F"/>
    <w:pPr>
      <w:ind w:left="880"/>
    </w:pPr>
    <w:rPr>
      <w:sz w:val="20"/>
      <w:szCs w:val="20"/>
    </w:rPr>
  </w:style>
  <w:style w:type="paragraph" w:styleId="TDC6">
    <w:name w:val="toc 6"/>
    <w:basedOn w:val="Normal"/>
    <w:next w:val="Normal"/>
    <w:autoRedefine/>
    <w:semiHidden/>
    <w:rsid w:val="001B789F"/>
    <w:pPr>
      <w:ind w:left="1100"/>
    </w:pPr>
    <w:rPr>
      <w:sz w:val="20"/>
      <w:szCs w:val="20"/>
    </w:rPr>
  </w:style>
  <w:style w:type="paragraph" w:styleId="TDC7">
    <w:name w:val="toc 7"/>
    <w:basedOn w:val="Normal"/>
    <w:next w:val="Normal"/>
    <w:autoRedefine/>
    <w:semiHidden/>
    <w:rsid w:val="001B789F"/>
    <w:pPr>
      <w:ind w:left="1320"/>
    </w:pPr>
    <w:rPr>
      <w:sz w:val="20"/>
      <w:szCs w:val="20"/>
    </w:rPr>
  </w:style>
  <w:style w:type="paragraph" w:styleId="TDC8">
    <w:name w:val="toc 8"/>
    <w:basedOn w:val="Normal"/>
    <w:next w:val="Normal"/>
    <w:autoRedefine/>
    <w:semiHidden/>
    <w:rsid w:val="001B789F"/>
    <w:pPr>
      <w:ind w:left="1540"/>
    </w:pPr>
    <w:rPr>
      <w:sz w:val="20"/>
      <w:szCs w:val="20"/>
    </w:rPr>
  </w:style>
  <w:style w:type="paragraph" w:styleId="TDC9">
    <w:name w:val="toc 9"/>
    <w:basedOn w:val="Normal"/>
    <w:next w:val="Normal"/>
    <w:autoRedefine/>
    <w:semiHidden/>
    <w:rsid w:val="001B789F"/>
    <w:pPr>
      <w:ind w:left="1760"/>
    </w:pPr>
    <w:rPr>
      <w:sz w:val="20"/>
      <w:szCs w:val="20"/>
    </w:rPr>
  </w:style>
  <w:style w:type="paragraph" w:customStyle="1" w:styleId="TytApp">
    <w:name w:val="Tyt. App."/>
    <w:basedOn w:val="Normal"/>
    <w:autoRedefine/>
    <w:semiHidden/>
    <w:rsid w:val="001B789F"/>
    <w:pPr>
      <w:widowControl w:val="0"/>
      <w:numPr>
        <w:ilvl w:val="12"/>
      </w:numPr>
      <w:tabs>
        <w:tab w:val="left" w:pos="90"/>
        <w:tab w:val="left" w:pos="737"/>
        <w:tab w:val="left" w:pos="2835"/>
      </w:tabs>
      <w:spacing w:before="180" w:after="40" w:line="260" w:lineRule="exact"/>
      <w:jc w:val="center"/>
    </w:pPr>
    <w:rPr>
      <w:b/>
      <w:snapToGrid w:val="0"/>
      <w:color w:val="000000"/>
      <w:sz w:val="24"/>
      <w:szCs w:val="20"/>
      <w:lang w:eastAsia="es-ES"/>
    </w:rPr>
  </w:style>
  <w:style w:type="paragraph" w:styleId="Prrafodelista">
    <w:name w:val="List Paragraph"/>
    <w:basedOn w:val="Normal"/>
    <w:uiPriority w:val="34"/>
    <w:rsid w:val="00BF077B"/>
    <w:pPr>
      <w:ind w:left="720"/>
    </w:pPr>
  </w:style>
  <w:style w:type="character" w:styleId="Ttulodellibro">
    <w:name w:val="Book Title"/>
    <w:uiPriority w:val="33"/>
    <w:rsid w:val="00BF077B"/>
    <w:rPr>
      <w:b/>
      <w:bCs/>
      <w:smallCaps/>
      <w:spacing w:val="5"/>
    </w:rPr>
  </w:style>
  <w:style w:type="paragraph" w:customStyle="1" w:styleId="ATSMeasureEmphasis">
    <w:name w:val="ATS Measure Emphasis"/>
    <w:basedOn w:val="Normal"/>
    <w:qFormat/>
    <w:rsid w:val="009E64FE"/>
    <w:pPr>
      <w:spacing w:before="120" w:after="360"/>
    </w:pPr>
    <w:rPr>
      <w:b/>
      <w:sz w:val="24"/>
      <w:lang w:eastAsia="en-GB"/>
    </w:rPr>
  </w:style>
  <w:style w:type="character" w:customStyle="1" w:styleId="ATSHeading2Char">
    <w:name w:val="ATS Heading 2 Char"/>
    <w:link w:val="ATSHeading2"/>
    <w:locked/>
    <w:rsid w:val="00215037"/>
    <w:rPr>
      <w:rFonts w:ascii="Arial" w:hAnsi="Arial"/>
      <w:b/>
      <w:i/>
      <w:sz w:val="24"/>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7D6A62-F981-4292-A123-1E093CC7E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1527</Words>
  <Characters>8400</Characters>
  <Application>Microsoft Office Word</Application>
  <DocSecurity>0</DocSecurity>
  <Lines>70</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(Paper title:)</vt:lpstr>
      <vt:lpstr>(Paper title:)</vt:lpstr>
    </vt:vector>
  </TitlesOfParts>
  <Company>ATS</Company>
  <LinksUpToDate>false</LinksUpToDate>
  <CharactersWithSpaces>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dc:title>
  <dc:creator>Mauro</dc:creator>
  <cp:lastModifiedBy>Lepe Zamora Rodrigo</cp:lastModifiedBy>
  <cp:revision>2</cp:revision>
  <cp:lastPrinted>2008-01-22T18:20:00Z</cp:lastPrinted>
  <dcterms:created xsi:type="dcterms:W3CDTF">2026-04-24T11:53:00Z</dcterms:created>
  <dcterms:modified xsi:type="dcterms:W3CDTF">2026-04-24T11:53:00Z</dcterms:modified>
</cp:coreProperties>
</file>