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Estudio de Caso: Almonacid Arellano vs. Chile</w:t>
      </w:r>
    </w:p>
    <w:tbl>
      <w:tblPr>
        <w:tblW w:type="auto" w:w="0"/>
        <w:tblLook w:firstColumn="1" w:firstRow="1" w:lastColumn="0" w:lastRow="0" w:noHBand="0" w:noVBand="1" w:val="04A0"/>
      </w:tblPr>
      <w:tblGrid>
        <w:gridCol w:w="4320"/>
        <w:gridCol w:w="4320"/>
      </w:tblGrid>
      <w:tr>
        <w:tc>
          <w:tcPr>
            <w:tcW w:type="dxa" w:w="4320"/>
          </w:tcPr>
          <w:p>
            <w:r>
              <w:t>Aspecto</w:t>
            </w:r>
          </w:p>
        </w:tc>
        <w:tc>
          <w:tcPr>
            <w:tcW w:type="dxa" w:w="4320"/>
          </w:tcPr>
          <w:p>
            <w:r>
              <w:t>Detalle</w:t>
            </w:r>
          </w:p>
        </w:tc>
      </w:tr>
      <w:tr>
        <w:tc>
          <w:tcPr>
            <w:tcW w:type="dxa" w:w="4320"/>
          </w:tcPr>
          <w:p>
            <w:r>
              <w:t>1. Nombre del caso:</w:t>
            </w:r>
          </w:p>
        </w:tc>
        <w:tc>
          <w:tcPr>
            <w:tcW w:type="dxa" w:w="4320"/>
          </w:tcPr>
          <w:p>
            <w:r>
              <w:t>Almonacid Arellano vs. Chile</w:t>
            </w:r>
          </w:p>
        </w:tc>
      </w:tr>
      <w:tr>
        <w:tc>
          <w:tcPr>
            <w:tcW w:type="dxa" w:w="4320"/>
          </w:tcPr>
          <w:p>
            <w:r>
              <w:t>2. Tipo de Caso:</w:t>
            </w:r>
          </w:p>
        </w:tc>
        <w:tc>
          <w:tcPr>
            <w:tcW w:type="dxa" w:w="4320"/>
          </w:tcPr>
          <w:p>
            <w:r>
              <w:t>Derecho a la vida, justicia frente a crímenes de lesa humanidad, inaplicabilidad de leyes de amnistía.</w:t>
            </w:r>
          </w:p>
        </w:tc>
      </w:tr>
      <w:tr>
        <w:tc>
          <w:tcPr>
            <w:tcW w:type="dxa" w:w="4320"/>
          </w:tcPr>
          <w:p>
            <w:r>
              <w:t>3. Fecha de presentación del caso:</w:t>
            </w:r>
          </w:p>
        </w:tc>
        <w:tc>
          <w:tcPr>
            <w:tcW w:type="dxa" w:w="4320"/>
          </w:tcPr>
          <w:p>
            <w:r>
              <w:t>2004 (Comisión Interamericana de Derechos Humanos).</w:t>
            </w:r>
          </w:p>
        </w:tc>
      </w:tr>
      <w:tr>
        <w:tc>
          <w:tcPr>
            <w:tcW w:type="dxa" w:w="4320"/>
          </w:tcPr>
          <w:p>
            <w:r>
              <w:t>Fecha de resolución del caso:</w:t>
            </w:r>
          </w:p>
        </w:tc>
        <w:tc>
          <w:tcPr>
            <w:tcW w:type="dxa" w:w="4320"/>
          </w:tcPr>
          <w:p>
            <w:r>
              <w:t>26 de septiembre de 2006 (sentencia de la Corte Interamericana de Derechos Humanos).</w:t>
            </w:r>
          </w:p>
        </w:tc>
      </w:tr>
      <w:tr>
        <w:tc>
          <w:tcPr>
            <w:tcW w:type="dxa" w:w="4320"/>
          </w:tcPr>
          <w:p>
            <w:r>
              <w:t>4. Identificar de qué trató el caso:</w:t>
            </w:r>
          </w:p>
        </w:tc>
        <w:tc>
          <w:tcPr>
            <w:tcW w:type="dxa" w:w="4320"/>
          </w:tcPr>
          <w:p>
            <w:r>
              <w:t>El caso se originó por la ejecución extrajudicial del profesor de historia Luis Alfredo Almonacid Arellano el 17 de septiembre de 1973, durante los primeros días de la dictadura militar en Chile. La justicia chilena desestimó investigar a fondo el crimen aplicando la Ley de Amnistía de 1978.</w:t>
            </w:r>
          </w:p>
        </w:tc>
      </w:tr>
      <w:tr>
        <w:tc>
          <w:tcPr>
            <w:tcW w:type="dxa" w:w="4320"/>
          </w:tcPr>
          <w:p>
            <w:r>
              <w:t>5. Descripción de los Hechos:</w:t>
            </w:r>
          </w:p>
        </w:tc>
        <w:tc>
          <w:tcPr>
            <w:tcW w:type="dxa" w:w="4320"/>
          </w:tcPr>
          <w:p>
            <w:r>
              <w:t>- Luis Almonacid fue detenido en su domicilio y ejecutado por agentes militares.</w:t>
              <w:br/>
              <w:t>- La investigación judicial en Chile fue cerrada por aplicación de la Ley de Amnistía de 1978.</w:t>
              <w:br/>
              <w:t>- La Comisión Interamericana concluyó que el Estado incumplió su deber de investigar, juzgar y sancionar a los responsables de crímenes de lesa humanidad.</w:t>
            </w:r>
          </w:p>
        </w:tc>
      </w:tr>
      <w:tr>
        <w:tc>
          <w:tcPr>
            <w:tcW w:type="dxa" w:w="4320"/>
          </w:tcPr>
          <w:p>
            <w:r>
              <w:t>6. Identificación completa y descripción de los Derechos Humanos vulnerados según la Declaración Universal de los Derechos Humanos de 1948:</w:t>
            </w:r>
          </w:p>
        </w:tc>
        <w:tc>
          <w:tcPr>
            <w:tcW w:type="dxa" w:w="4320"/>
          </w:tcPr>
          <w:p>
            <w:r>
              <w:t>- Artículo 3: Derecho a la vida, a la libertad y a la seguridad personal.</w:t>
              <w:br/>
              <w:t>- Artículo 8: Derecho a un recurso efectivo ante tribunales nacionales.</w:t>
              <w:br/>
              <w:t>- Artículo 10: Derecho a un juicio justo.</w:t>
              <w:br/>
              <w:t>- Artículo 19: Libertad de opinión y expresión (indirectamente, por la represión contra opositores políticos).</w:t>
            </w:r>
          </w:p>
        </w:tc>
      </w:tr>
      <w:tr>
        <w:tc>
          <w:tcPr>
            <w:tcW w:type="dxa" w:w="4320"/>
          </w:tcPr>
          <w:p>
            <w:r>
              <w:t>7. ¿Qué otros derechos humanos estiman que fueron vulnerados aparte de los establecidos por la Corte?</w:t>
            </w:r>
          </w:p>
        </w:tc>
        <w:tc>
          <w:tcPr>
            <w:tcW w:type="dxa" w:w="4320"/>
          </w:tcPr>
          <w:p>
            <w:r>
              <w:t>- Artículo 5: Prohibición de tratos crueles, inhumanos o degradantes.</w:t>
              <w:br/>
              <w:t>- Artículo 20: Libertad de reunión y asociación, ya que el hecho formaba parte de una política de persecución contra opositores políticos.</w:t>
            </w:r>
          </w:p>
        </w:tc>
      </w:tr>
      <w:tr>
        <w:tc>
          <w:tcPr>
            <w:tcW w:type="dxa" w:w="4320"/>
          </w:tcPr>
          <w:p>
            <w:r>
              <w:t>8. ¿Cuál fue la sentencia emitida por la Corte Interamericana de los DD.HH. que trató su caso analizado?</w:t>
            </w:r>
          </w:p>
        </w:tc>
        <w:tc>
          <w:tcPr>
            <w:tcW w:type="dxa" w:w="4320"/>
          </w:tcPr>
          <w:p>
            <w:r>
              <w:t>La Corte IDH declaró que Chile violó el artículo 4 (derecho a la vida), artículo 8 (garantías judiciales) y artículo 25 (protección judicial) de la Convención Americana. Determinó que las leyes de amnistía son incompatibles con la Convención y no pueden ser aplicadas a crímenes de lesa humanidad.</w:t>
            </w:r>
          </w:p>
        </w:tc>
      </w:tr>
      <w:tr>
        <w:tc>
          <w:tcPr>
            <w:tcW w:type="dxa" w:w="4320"/>
          </w:tcPr>
          <w:p>
            <w:r>
              <w:t>9. ¿Cuál fue la reparación en su caso?</w:t>
            </w:r>
          </w:p>
        </w:tc>
        <w:tc>
          <w:tcPr>
            <w:tcW w:type="dxa" w:w="4320"/>
          </w:tcPr>
          <w:p>
            <w:r>
              <w:t>- Reapertura de investigaciones en la justicia chilena.</w:t>
              <w:br/>
              <w:t>- Pago de indemnizaciones a los familiares de la víctima.</w:t>
              <w:br/>
              <w:t>- Garantías de no repetición: el Estado de Chile se comprometió a no volver a aplicar la Ley de Amnistía y a adecuar su ordenamiento jurídico.</w:t>
            </w:r>
          </w:p>
        </w:tc>
      </w:tr>
      <w:tr>
        <w:tc>
          <w:tcPr>
            <w:tcW w:type="dxa" w:w="4320"/>
          </w:tcPr>
          <w:p>
            <w:r>
              <w:t>10. ¿Qué aprendizaje les dejó su grupo o dupla el caso estudiado?</w:t>
            </w:r>
          </w:p>
        </w:tc>
        <w:tc>
          <w:tcPr>
            <w:tcW w:type="dxa" w:w="4320"/>
          </w:tcPr>
          <w:p>
            <w:r>
              <w:t>- Que los crímenes de lesa humanidad son imprescriptibles e inamnistiables.</w:t>
              <w:br/>
              <w:t>- La importancia de la justicia transicional en procesos democráticos.</w:t>
              <w:br/>
              <w:t>- Que el derecho internacional de los derechos humanos prevalece sobre legislaciones internas incompatibles.</w:t>
              <w:br/>
              <w:t>- El rol de la Corte IDH como garante de justicia frente a violaciones graves de derechos humanos en contextos de dictadura.</w:t>
            </w:r>
          </w:p>
        </w:tc>
      </w:tr>
    </w:tbl>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