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before="480"/>
        <w:jc w:val="center"/>
      </w:pPr>
      <w:r>
        <w:rPr>
          <w:rFonts w:ascii="Arial" w:cs="Arial" w:eastAsia="Arial" w:hAnsi="Arial"/>
          <w:b/>
          <w:bCs/>
          <w:color w:val="1F4E79"/>
          <w:sz w:val="40"/>
          <w:szCs w:val="40"/>
        </w:rPr>
        <w:t xml:space="preserve">CONTRIBUCIÓN A LA MANIOBRA CONJUNTA</w:t>
      </w:r>
    </w:p>
    <w:p>
      <w:pPr>
        <w:spacing w:after="80" w:before="0"/>
        <w:jc w:val="center"/>
      </w:pPr>
      <w:r>
        <w:rPr>
          <w:rFonts w:ascii="Arial" w:cs="Arial" w:eastAsia="Arial" w:hAnsi="Arial"/>
          <w:i/>
          <w:iCs/>
          <w:color w:val="2E75B6"/>
          <w:sz w:val="26"/>
          <w:szCs w:val="26"/>
        </w:rPr>
        <w:t xml:space="preserve">Buque de Combate de Superficie Multimisión</w:t>
      </w:r>
    </w:p>
    <w:p>
      <w:pPr>
        <w:pBdr>
          <w:bottom w:val="single" w:color="1F4E79" w:sz="6" w:space="6"/>
        </w:pBdr>
        <w:spacing w:after="480" w:before="0"/>
        <w:jc w:val="center"/>
      </w:pPr>
      <w:r>
        <w:rPr>
          <w:rFonts w:ascii="Arial" w:cs="Arial" w:eastAsia="Arial" w:hAnsi="Arial"/>
          <w:color w:val="444444"/>
          <w:sz w:val="20"/>
          <w:szCs w:val="20"/>
        </w:rPr>
        <w:t xml:space="preserve">Armamento principal: Exocet MM-40 Block 3 | SM-2 | ESSM | Cañón 76mm</w:t>
      </w:r>
    </w:p>
    <w:p>
      <w:pPr>
        <w:pStyle w:val="Heading1"/>
        <w:spacing w:after="160" w:before="320"/>
      </w:pPr>
      <w:r>
        <w:rPr>
          <w:rFonts w:ascii="Arial" w:cs="Arial" w:eastAsia="Arial" w:hAnsi="Arial"/>
          <w:b/>
          <w:bCs/>
          <w:color w:val="1F4E79"/>
          <w:sz w:val="28"/>
          <w:szCs w:val="28"/>
        </w:rPr>
        <w:t xml:space="preserve">1. Introducción</w:t>
      </w:r>
    </w:p>
    <w:p>
      <w:pPr>
        <w:spacing w:after="80" w:before="80"/>
      </w:pPr>
      <w:r>
        <w:rPr>
          <w:rFonts w:ascii="Arial" w:cs="Arial" w:eastAsia="Arial" w:hAnsi="Arial"/>
          <w:sz w:val="22"/>
          <w:szCs w:val="22"/>
        </w:rPr>
        <w:t xml:space="preserve">El presente documento analiza las capacidades de un buque de combate de superficie con roles multidominio y su potencial contribución a la maniobra conjunta de las Fuerzas Armadas. Se consideran sus sistemas de armas, sensores y medios de enlace como factores determinantes para el empleo en operaciones combinadas.</w:t>
      </w:r>
    </w:p>
    <w:p>
      <w:pPr>
        <w:pBdr>
          <w:bottom w:val="single" w:color="2E75B6" w:sz="4" w:space="1"/>
        </w:pBdr>
        <w:spacing w:after="160" w:before="160"/>
      </w:pPr>
    </w:p>
    <w:p>
      <w:pPr>
        <w:pStyle w:val="Heading1"/>
        <w:spacing w:after="160" w:before="320"/>
      </w:pPr>
      <w:r>
        <w:rPr>
          <w:rFonts w:ascii="Arial" w:cs="Arial" w:eastAsia="Arial" w:hAnsi="Arial"/>
          <w:b/>
          <w:bCs/>
          <w:color w:val="1F4E79"/>
          <w:sz w:val="28"/>
          <w:szCs w:val="28"/>
        </w:rPr>
        <w:t xml:space="preserve">2. Roles Operacionales Asignados</w:t>
      </w:r>
    </w:p>
    <w:p>
      <w:pPr>
        <w:pStyle w:val="Heading2"/>
        <w:spacing w:after="120" w:before="240"/>
      </w:pPr>
      <w:r>
        <w:rPr>
          <w:rFonts w:ascii="Arial" w:cs="Arial" w:eastAsia="Arial" w:hAnsi="Arial"/>
          <w:b/>
          <w:bCs/>
          <w:color w:val="2E75B6"/>
          <w:sz w:val="24"/>
          <w:szCs w:val="24"/>
        </w:rPr>
        <w:t xml:space="preserve">2.1 Rol A — Combate de Superficie y Defensa Antisubmarina</w:t>
      </w:r>
    </w:p>
    <w:p>
      <w:pPr>
        <w:pStyle w:val="ListParagraph"/>
        <w:numPr>
          <w:ilvl w:val="0"/>
          <w:numId w:val="2"/>
        </w:numPr>
        <w:spacing w:after="60" w:before="60"/>
      </w:pPr>
      <w:r>
        <w:rPr>
          <w:rFonts w:ascii="Arial" w:cs="Arial" w:eastAsia="Arial" w:hAnsi="Arial"/>
          <w:sz w:val="22"/>
          <w:szCs w:val="22"/>
        </w:rPr>
        <w:t xml:space="preserve">Combate de superficie con misiles transhorizonte (Exocet MM-40 Block 3)</w:t>
      </w:r>
    </w:p>
    <w:p>
      <w:pPr>
        <w:pStyle w:val="ListParagraph"/>
        <w:numPr>
          <w:ilvl w:val="0"/>
          <w:numId w:val="2"/>
        </w:numPr>
        <w:spacing w:after="60" w:before="60"/>
      </w:pPr>
      <w:r>
        <w:rPr>
          <w:rFonts w:ascii="Arial" w:cs="Arial" w:eastAsia="Arial" w:hAnsi="Arial"/>
          <w:sz w:val="22"/>
          <w:szCs w:val="22"/>
        </w:rPr>
        <w:t xml:space="preserve">Combate de superficie con misiles subhorizonte</w:t>
      </w:r>
    </w:p>
    <w:p>
      <w:pPr>
        <w:pStyle w:val="ListParagraph"/>
        <w:numPr>
          <w:ilvl w:val="0"/>
          <w:numId w:val="2"/>
        </w:numPr>
        <w:spacing w:after="60" w:before="60"/>
      </w:pPr>
      <w:r>
        <w:rPr>
          <w:rFonts w:ascii="Arial" w:cs="Arial" w:eastAsia="Arial" w:hAnsi="Arial"/>
          <w:sz w:val="22"/>
          <w:szCs w:val="22"/>
        </w:rPr>
        <w:t xml:space="preserve">Defensa antisubmarina de un grupo de tarea</w:t>
      </w:r>
    </w:p>
    <w:p>
      <w:pPr>
        <w:pStyle w:val="ListParagraph"/>
        <w:numPr>
          <w:ilvl w:val="0"/>
          <w:numId w:val="2"/>
        </w:numPr>
        <w:spacing w:after="60" w:before="60"/>
      </w:pPr>
      <w:r>
        <w:rPr>
          <w:rFonts w:ascii="Arial" w:cs="Arial" w:eastAsia="Arial" w:hAnsi="Arial"/>
          <w:sz w:val="22"/>
          <w:szCs w:val="22"/>
        </w:rPr>
        <w:t xml:space="preserve">Acción de superficie artillera (Cañón 76mm)</w:t>
      </w:r>
    </w:p>
    <w:p>
      <w:pPr>
        <w:pStyle w:val="Heading2"/>
        <w:spacing w:after="120" w:before="240"/>
      </w:pPr>
      <w:r>
        <w:rPr>
          <w:rFonts w:ascii="Arial" w:cs="Arial" w:eastAsia="Arial" w:hAnsi="Arial"/>
          <w:b/>
          <w:bCs/>
          <w:color w:val="2E75B6"/>
          <w:sz w:val="24"/>
          <w:szCs w:val="24"/>
        </w:rPr>
        <w:t xml:space="preserve">2.2 Rol B — Defensa Antiaérea de Área</w:t>
      </w:r>
    </w:p>
    <w:p>
      <w:pPr>
        <w:pStyle w:val="ListParagraph"/>
        <w:numPr>
          <w:ilvl w:val="0"/>
          <w:numId w:val="2"/>
        </w:numPr>
        <w:spacing w:after="60" w:before="60"/>
      </w:pPr>
      <w:r>
        <w:rPr>
          <w:rFonts w:ascii="Arial" w:cs="Arial" w:eastAsia="Arial" w:hAnsi="Arial"/>
          <w:sz w:val="22"/>
          <w:szCs w:val="22"/>
        </w:rPr>
        <w:t xml:space="preserve">Defensa antiaérea de área de un grupo de tarea (SM-2, ESSM)</w:t>
      </w:r>
    </w:p>
    <w:p>
      <w:pPr>
        <w:pStyle w:val="ListParagraph"/>
        <w:numPr>
          <w:ilvl w:val="0"/>
          <w:numId w:val="2"/>
        </w:numPr>
        <w:spacing w:after="60" w:before="60"/>
      </w:pPr>
      <w:r>
        <w:rPr>
          <w:rFonts w:ascii="Arial" w:cs="Arial" w:eastAsia="Arial" w:hAnsi="Arial"/>
          <w:sz w:val="22"/>
          <w:szCs w:val="22"/>
        </w:rPr>
        <w:t xml:space="preserve">Combate de superficie transhorizonte con misiles ASM (Exocet MM-40 Block 3)</w:t>
      </w:r>
    </w:p>
    <w:p>
      <w:pPr>
        <w:pStyle w:val="ListParagraph"/>
        <w:numPr>
          <w:ilvl w:val="0"/>
          <w:numId w:val="2"/>
        </w:numPr>
        <w:spacing w:after="60" w:before="60"/>
      </w:pPr>
      <w:r>
        <w:rPr>
          <w:rFonts w:ascii="Arial" w:cs="Arial" w:eastAsia="Arial" w:hAnsi="Arial"/>
          <w:sz w:val="22"/>
          <w:szCs w:val="22"/>
        </w:rPr>
        <w:t xml:space="preserve">Combate de superficie con misiles subhorizonte</w:t>
      </w:r>
    </w:p>
    <w:p>
      <w:pPr>
        <w:pStyle w:val="ListParagraph"/>
        <w:numPr>
          <w:ilvl w:val="0"/>
          <w:numId w:val="2"/>
        </w:numPr>
        <w:spacing w:after="60" w:before="60"/>
      </w:pPr>
      <w:r>
        <w:rPr>
          <w:rFonts w:ascii="Arial" w:cs="Arial" w:eastAsia="Arial" w:hAnsi="Arial"/>
          <w:sz w:val="22"/>
          <w:szCs w:val="22"/>
        </w:rPr>
        <w:t xml:space="preserve">Defensa antisubmarina de un grupo de tarea</w:t>
      </w:r>
    </w:p>
    <w:p>
      <w:pPr>
        <w:pStyle w:val="ListParagraph"/>
        <w:numPr>
          <w:ilvl w:val="0"/>
          <w:numId w:val="2"/>
        </w:numPr>
        <w:spacing w:after="60" w:before="60"/>
      </w:pPr>
      <w:r>
        <w:rPr>
          <w:rFonts w:ascii="Arial" w:cs="Arial" w:eastAsia="Arial" w:hAnsi="Arial"/>
          <w:sz w:val="22"/>
          <w:szCs w:val="22"/>
        </w:rPr>
        <w:t xml:space="preserve">Acción de superficie artillera</w:t>
      </w:r>
    </w:p>
    <w:p>
      <w:pPr>
        <w:pStyle w:val="Heading2"/>
        <w:spacing w:after="120" w:before="240"/>
      </w:pPr>
      <w:r>
        <w:rPr>
          <w:rFonts w:ascii="Arial" w:cs="Arial" w:eastAsia="Arial" w:hAnsi="Arial"/>
          <w:b/>
          <w:bCs/>
          <w:color w:val="2E75B6"/>
          <w:sz w:val="24"/>
          <w:szCs w:val="24"/>
        </w:rPr>
        <w:t xml:space="preserve">2.3 Rol C — Defensa Antiaérea y Combate Integrado</w:t>
      </w:r>
    </w:p>
    <w:p>
      <w:pPr>
        <w:pStyle w:val="ListParagraph"/>
        <w:numPr>
          <w:ilvl w:val="0"/>
          <w:numId w:val="2"/>
        </w:numPr>
        <w:spacing w:after="60" w:before="60"/>
      </w:pPr>
      <w:r>
        <w:rPr>
          <w:rFonts w:ascii="Arial" w:cs="Arial" w:eastAsia="Arial" w:hAnsi="Arial"/>
          <w:sz w:val="22"/>
          <w:szCs w:val="22"/>
        </w:rPr>
        <w:t xml:space="preserve">Defensa antiaérea de área de un grupo de tarea</w:t>
      </w:r>
    </w:p>
    <w:p>
      <w:pPr>
        <w:pStyle w:val="ListParagraph"/>
        <w:numPr>
          <w:ilvl w:val="0"/>
          <w:numId w:val="2"/>
        </w:numPr>
        <w:spacing w:after="60" w:before="60"/>
      </w:pPr>
      <w:r>
        <w:rPr>
          <w:rFonts w:ascii="Arial" w:cs="Arial" w:eastAsia="Arial" w:hAnsi="Arial"/>
          <w:sz w:val="22"/>
          <w:szCs w:val="22"/>
        </w:rPr>
        <w:t xml:space="preserve">Combate de superficie con misiles transhorizonte</w:t>
      </w:r>
    </w:p>
    <w:p>
      <w:pPr>
        <w:pStyle w:val="ListParagraph"/>
        <w:numPr>
          <w:ilvl w:val="0"/>
          <w:numId w:val="2"/>
        </w:numPr>
        <w:spacing w:after="60" w:before="60"/>
      </w:pPr>
      <w:r>
        <w:rPr>
          <w:rFonts w:ascii="Arial" w:cs="Arial" w:eastAsia="Arial" w:hAnsi="Arial"/>
          <w:sz w:val="22"/>
          <w:szCs w:val="22"/>
        </w:rPr>
        <w:t xml:space="preserve">Combate de superficie con misiles subhorizonte</w:t>
      </w:r>
    </w:p>
    <w:p>
      <w:pPr>
        <w:pStyle w:val="ListParagraph"/>
        <w:numPr>
          <w:ilvl w:val="0"/>
          <w:numId w:val="2"/>
        </w:numPr>
        <w:spacing w:after="60" w:before="60"/>
      </w:pPr>
      <w:r>
        <w:rPr>
          <w:rFonts w:ascii="Arial" w:cs="Arial" w:eastAsia="Arial" w:hAnsi="Arial"/>
          <w:sz w:val="22"/>
          <w:szCs w:val="22"/>
        </w:rPr>
        <w:t xml:space="preserve">Defensa antisubmarina de un grupo de tarea</w:t>
      </w:r>
    </w:p>
    <w:p>
      <w:pPr>
        <w:pBdr>
          <w:bottom w:val="single" w:color="2E75B6" w:sz="4" w:space="1"/>
        </w:pBdr>
        <w:spacing w:after="160" w:before="160"/>
      </w:pPr>
    </w:p>
    <w:p>
      <w:pPr>
        <w:pStyle w:val="Heading1"/>
        <w:spacing w:after="160" w:before="320"/>
      </w:pPr>
      <w:r>
        <w:rPr>
          <w:rFonts w:ascii="Arial" w:cs="Arial" w:eastAsia="Arial" w:hAnsi="Arial"/>
          <w:b/>
          <w:bCs/>
          <w:color w:val="1F4E79"/>
          <w:sz w:val="28"/>
          <w:szCs w:val="28"/>
        </w:rPr>
        <w:t xml:space="preserve">3. Capacidades Técnicas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200"/>
        <w:gridCol w:w="3580"/>
        <w:gridCol w:w="3580"/>
      </w:tblGrid>
      <w:tr>
        <w:tc>
          <w:tcPr>
            <w:tcW w:type="dxa" w:w="2200"/>
            <w:tcBorders>
              <w:top w:val="single" w:color="1F4E79" w:sz="1"/>
              <w:left w:val="single" w:color="1F4E79" w:sz="1"/>
              <w:bottom w:val="single" w:color="1F4E79" w:sz="1"/>
              <w:right w:val="single" w:color="1F4E79" w:sz="1"/>
            </w:tcBorders>
            <w:shd w:fill="1F4E79" w:val="clear"/>
            <w:tcMar>
              <w:top w:type="dxa" w:w="80"/>
              <w:left w:type="dxa" w:w="120"/>
              <w:bottom w:type="dxa" w:w="80"/>
              <w:right w:type="dxa" w:w="120"/>
            </w:tcMar>
          </w:tcPr>
          <w:p>
            <w:r>
              <w:rPr>
                <w:rFonts w:ascii="Arial" w:cs="Arial" w:eastAsia="Arial" w:hAnsi="Arial"/>
                <w:b/>
                <w:bCs/>
                <w:color w:val="FFFFFF"/>
                <w:sz w:val="22"/>
                <w:szCs w:val="22"/>
              </w:rPr>
              <w:t xml:space="preserve">Categoría</w:t>
            </w:r>
          </w:p>
        </w:tc>
        <w:tc>
          <w:tcPr>
            <w:tcW w:type="dxa" w:w="3580"/>
            <w:tcBorders>
              <w:top w:val="single" w:color="1F4E79" w:sz="1"/>
              <w:left w:val="single" w:color="1F4E79" w:sz="1"/>
              <w:bottom w:val="single" w:color="1F4E79" w:sz="1"/>
              <w:right w:val="single" w:color="1F4E79" w:sz="1"/>
            </w:tcBorders>
            <w:shd w:fill="1F4E79" w:val="clear"/>
            <w:tcMar>
              <w:top w:type="dxa" w:w="80"/>
              <w:left w:type="dxa" w:w="120"/>
              <w:bottom w:type="dxa" w:w="80"/>
              <w:right w:type="dxa" w:w="120"/>
            </w:tcMar>
          </w:tcPr>
          <w:p>
            <w:r>
              <w:rPr>
                <w:rFonts w:ascii="Arial" w:cs="Arial" w:eastAsia="Arial" w:hAnsi="Arial"/>
                <w:b/>
                <w:bCs/>
                <w:color w:val="FFFFFF"/>
                <w:sz w:val="22"/>
                <w:szCs w:val="22"/>
              </w:rPr>
              <w:t xml:space="preserve">Sistema</w:t>
            </w:r>
          </w:p>
        </w:tc>
        <w:tc>
          <w:tcPr>
            <w:tcW w:type="dxa" w:w="3580"/>
            <w:tcBorders>
              <w:top w:val="single" w:color="1F4E79" w:sz="1"/>
              <w:left w:val="single" w:color="1F4E79" w:sz="1"/>
              <w:bottom w:val="single" w:color="1F4E79" w:sz="1"/>
              <w:right w:val="single" w:color="1F4E79" w:sz="1"/>
            </w:tcBorders>
            <w:shd w:fill="1F4E79" w:val="clear"/>
            <w:tcMar>
              <w:top w:type="dxa" w:w="80"/>
              <w:left w:type="dxa" w:w="120"/>
              <w:bottom w:type="dxa" w:w="80"/>
              <w:right w:type="dxa" w:w="120"/>
            </w:tcMar>
          </w:tcPr>
          <w:p>
            <w:r>
              <w:rPr>
                <w:rFonts w:ascii="Arial" w:cs="Arial" w:eastAsia="Arial" w:hAnsi="Arial"/>
                <w:b/>
                <w:bCs/>
                <w:color w:val="FFFFFF"/>
                <w:sz w:val="22"/>
                <w:szCs w:val="22"/>
              </w:rPr>
              <w:t xml:space="preserve">Característica relevante</w:t>
            </w:r>
          </w:p>
        </w:tc>
      </w:tr>
      <w:tr>
        <w:tc>
          <w:tcPr>
            <w:tcW w:type="dxa" w:w="2200"/>
            <w:tcBorders>
              <w:top w:val="single" w:color="CCCCCC" w:sz="1"/>
              <w:left w:val="single" w:color="CCCCCC" w:sz="1"/>
              <w:bottom w:val="single" w:color="CCCCCC" w:sz="1"/>
              <w:right w:val="single" w:color="CCCCCC" w:sz="1"/>
            </w:tcBorders>
            <w:shd w:fill="D6E4F0" w:val="clear"/>
            <w:tcMar>
              <w:top w:type="dxa" w:w="80"/>
              <w:left w:type="dxa" w:w="120"/>
              <w:bottom w:type="dxa" w:w="80"/>
              <w:right w:type="dxa" w:w="120"/>
            </w:tcMar>
          </w:tcPr>
          <w:p>
            <w:r>
              <w:rPr>
                <w:rFonts w:ascii="Arial" w:cs="Arial" w:eastAsia="Arial" w:hAnsi="Arial"/>
                <w:b/>
                <w:bCs/>
                <w:sz w:val="22"/>
                <w:szCs w:val="22"/>
              </w:rPr>
              <w:t xml:space="preserve">Misiles A/S</w:t>
            </w:r>
          </w:p>
        </w:tc>
        <w:tc>
          <w:tcPr>
            <w:tcW w:type="dxa" w:w="358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sz w:val="22"/>
                <w:szCs w:val="22"/>
              </w:rPr>
              <w:t xml:space="preserve">Exocet MM-40 Block 3</w:t>
            </w:r>
          </w:p>
        </w:tc>
        <w:tc>
          <w:tcPr>
            <w:tcW w:type="dxa" w:w="358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sz w:val="22"/>
                <w:szCs w:val="22"/>
              </w:rPr>
              <w:t xml:space="preserve">~180 km, GPS/INS, capacidad tierra, trayectoria por waypoints</w:t>
            </w:r>
          </w:p>
        </w:tc>
      </w:tr>
      <w:tr>
        <w:tc>
          <w:tcPr>
            <w:tcW w:type="dxa" w:w="2200"/>
            <w:tcBorders>
              <w:top w:val="single" w:color="CCCCCC" w:sz="1"/>
              <w:left w:val="single" w:color="CCCCCC" w:sz="1"/>
              <w:bottom w:val="single" w:color="CCCCCC" w:sz="1"/>
              <w:right w:val="single" w:color="CCCCCC" w:sz="1"/>
            </w:tcBorders>
            <w:shd w:fill="EBF4FB" w:val="clear"/>
            <w:tcMar>
              <w:top w:type="dxa" w:w="80"/>
              <w:left w:type="dxa" w:w="120"/>
              <w:bottom w:type="dxa" w:w="80"/>
              <w:right w:type="dxa" w:w="120"/>
            </w:tcMar>
          </w:tcPr>
          <w:p>
            <w:r>
              <w:rPr>
                <w:rFonts w:ascii="Arial" w:cs="Arial" w:eastAsia="Arial" w:hAnsi="Arial"/>
                <w:b/>
                <w:bCs/>
                <w:sz w:val="22"/>
                <w:szCs w:val="22"/>
              </w:rPr>
              <w:t xml:space="preserve">Misiles A/A</w:t>
            </w:r>
          </w:p>
        </w:tc>
        <w:tc>
          <w:tcPr>
            <w:tcW w:type="dxa" w:w="3580"/>
            <w:tcBorders>
              <w:top w:val="single" w:color="CCCCCC" w:sz="1"/>
              <w:left w:val="single" w:color="CCCCCC" w:sz="1"/>
              <w:bottom w:val="single" w:color="CCCCCC" w:sz="1"/>
              <w:right w:val="single" w:color="CCCCCC" w:sz="1"/>
            </w:tcBorders>
            <w:shd w:fill="EBF4FB" w:val="clear"/>
            <w:tcMar>
              <w:top w:type="dxa" w:w="80"/>
              <w:left w:type="dxa" w:w="120"/>
              <w:bottom w:type="dxa" w:w="80"/>
              <w:right w:type="dxa" w:w="120"/>
            </w:tcMar>
          </w:tcPr>
          <w:p>
            <w:r>
              <w:rPr>
                <w:rFonts w:ascii="Arial" w:cs="Arial" w:eastAsia="Arial" w:hAnsi="Arial"/>
                <w:sz w:val="22"/>
                <w:szCs w:val="22"/>
              </w:rPr>
              <w:t xml:space="preserve">SM-2 / ESSM</w:t>
            </w:r>
          </w:p>
        </w:tc>
        <w:tc>
          <w:tcPr>
            <w:tcW w:type="dxa" w:w="3580"/>
            <w:tcBorders>
              <w:top w:val="single" w:color="CCCCCC" w:sz="1"/>
              <w:left w:val="single" w:color="CCCCCC" w:sz="1"/>
              <w:bottom w:val="single" w:color="CCCCCC" w:sz="1"/>
              <w:right w:val="single" w:color="CCCCCC" w:sz="1"/>
            </w:tcBorders>
            <w:shd w:fill="EBF4FB" w:val="clear"/>
            <w:tcMar>
              <w:top w:type="dxa" w:w="80"/>
              <w:left w:type="dxa" w:w="120"/>
              <w:bottom w:type="dxa" w:w="80"/>
              <w:right w:type="dxa" w:w="120"/>
            </w:tcMar>
          </w:tcPr>
          <w:p>
            <w:r>
              <w:rPr>
                <w:rFonts w:ascii="Arial" w:cs="Arial" w:eastAsia="Arial" w:hAnsi="Arial"/>
                <w:sz w:val="22"/>
                <w:szCs w:val="22"/>
              </w:rPr>
              <w:t xml:space="preserve">Defensa antiaérea de área y de punto; SM-2 largo alcance, ESSM corto alcance</w:t>
            </w:r>
          </w:p>
        </w:tc>
      </w:tr>
      <w:tr>
        <w:tc>
          <w:tcPr>
            <w:tcW w:type="dxa" w:w="2200"/>
            <w:tcBorders>
              <w:top w:val="single" w:color="CCCCCC" w:sz="1"/>
              <w:left w:val="single" w:color="CCCCCC" w:sz="1"/>
              <w:bottom w:val="single" w:color="CCCCCC" w:sz="1"/>
              <w:right w:val="single" w:color="CCCCCC" w:sz="1"/>
            </w:tcBorders>
            <w:shd w:fill="D6E4F0" w:val="clear"/>
            <w:tcMar>
              <w:top w:type="dxa" w:w="80"/>
              <w:left w:type="dxa" w:w="120"/>
              <w:bottom w:type="dxa" w:w="80"/>
              <w:right w:type="dxa" w:w="120"/>
            </w:tcMar>
          </w:tcPr>
          <w:p>
            <w:r>
              <w:rPr>
                <w:rFonts w:ascii="Arial" w:cs="Arial" w:eastAsia="Arial" w:hAnsi="Arial"/>
                <w:b/>
                <w:bCs/>
                <w:sz w:val="22"/>
                <w:szCs w:val="22"/>
              </w:rPr>
              <w:t xml:space="preserve">Artillería</w:t>
            </w:r>
          </w:p>
        </w:tc>
        <w:tc>
          <w:tcPr>
            <w:tcW w:type="dxa" w:w="358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sz w:val="22"/>
                <w:szCs w:val="22"/>
              </w:rPr>
              <w:t xml:space="preserve">Cañón 76mm</w:t>
            </w:r>
          </w:p>
        </w:tc>
        <w:tc>
          <w:tcPr>
            <w:tcW w:type="dxa" w:w="358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sz w:val="22"/>
                <w:szCs w:val="22"/>
              </w:rPr>
              <w:t xml:space="preserve">Apoyo de fuego naval litoral, acción de superficie y defensa de punto</w:t>
            </w:r>
          </w:p>
        </w:tc>
      </w:tr>
      <w:tr>
        <w:tc>
          <w:tcPr>
            <w:tcW w:type="dxa" w:w="2200"/>
            <w:tcBorders>
              <w:top w:val="single" w:color="CCCCCC" w:sz="1"/>
              <w:left w:val="single" w:color="CCCCCC" w:sz="1"/>
              <w:bottom w:val="single" w:color="CCCCCC" w:sz="1"/>
              <w:right w:val="single" w:color="CCCCCC" w:sz="1"/>
            </w:tcBorders>
            <w:shd w:fill="EBF4FB" w:val="clear"/>
            <w:tcMar>
              <w:top w:type="dxa" w:w="80"/>
              <w:left w:type="dxa" w:w="120"/>
              <w:bottom w:type="dxa" w:w="80"/>
              <w:right w:type="dxa" w:w="120"/>
            </w:tcMar>
          </w:tcPr>
          <w:p>
            <w:r>
              <w:rPr>
                <w:rFonts w:ascii="Arial" w:cs="Arial" w:eastAsia="Arial" w:hAnsi="Arial"/>
                <w:b/>
                <w:bCs/>
                <w:sz w:val="22"/>
                <w:szCs w:val="22"/>
              </w:rPr>
              <w:t xml:space="preserve">Sensores</w:t>
            </w:r>
          </w:p>
        </w:tc>
        <w:tc>
          <w:tcPr>
            <w:tcW w:type="dxa" w:w="3580"/>
            <w:tcBorders>
              <w:top w:val="single" w:color="CCCCCC" w:sz="1"/>
              <w:left w:val="single" w:color="CCCCCC" w:sz="1"/>
              <w:bottom w:val="single" w:color="CCCCCC" w:sz="1"/>
              <w:right w:val="single" w:color="CCCCCC" w:sz="1"/>
            </w:tcBorders>
            <w:shd w:fill="EBF4FB" w:val="clear"/>
            <w:tcMar>
              <w:top w:type="dxa" w:w="80"/>
              <w:left w:type="dxa" w:w="120"/>
              <w:bottom w:type="dxa" w:w="80"/>
              <w:right w:type="dxa" w:w="120"/>
            </w:tcMar>
          </w:tcPr>
          <w:p>
            <w:r>
              <w:rPr>
                <w:rFonts w:ascii="Arial" w:cs="Arial" w:eastAsia="Arial" w:hAnsi="Arial"/>
                <w:sz w:val="22"/>
                <w:szCs w:val="22"/>
              </w:rPr>
              <w:t xml:space="preserve">Radar SPS-49 / SPS-55</w:t>
            </w:r>
          </w:p>
        </w:tc>
        <w:tc>
          <w:tcPr>
            <w:tcW w:type="dxa" w:w="3580"/>
            <w:tcBorders>
              <w:top w:val="single" w:color="CCCCCC" w:sz="1"/>
              <w:left w:val="single" w:color="CCCCCC" w:sz="1"/>
              <w:bottom w:val="single" w:color="CCCCCC" w:sz="1"/>
              <w:right w:val="single" w:color="CCCCCC" w:sz="1"/>
            </w:tcBorders>
            <w:shd w:fill="EBF4FB" w:val="clear"/>
            <w:tcMar>
              <w:top w:type="dxa" w:w="80"/>
              <w:left w:type="dxa" w:w="120"/>
              <w:bottom w:type="dxa" w:w="80"/>
              <w:right w:type="dxa" w:w="120"/>
            </w:tcMar>
          </w:tcPr>
          <w:p>
            <w:r>
              <w:rPr>
                <w:rFonts w:ascii="Arial" w:cs="Arial" w:eastAsia="Arial" w:hAnsi="Arial"/>
                <w:sz w:val="22"/>
                <w:szCs w:val="22"/>
              </w:rPr>
              <w:t xml:space="preserve">Búsqueda aérea de largo alcance (SPS-49) y búsqueda de superficie (SPS-55)</w:t>
            </w:r>
          </w:p>
        </w:tc>
      </w:tr>
      <w:tr>
        <w:tc>
          <w:tcPr>
            <w:tcW w:type="dxa" w:w="2200"/>
            <w:tcBorders>
              <w:top w:val="single" w:color="CCCCCC" w:sz="1"/>
              <w:left w:val="single" w:color="CCCCCC" w:sz="1"/>
              <w:bottom w:val="single" w:color="CCCCCC" w:sz="1"/>
              <w:right w:val="single" w:color="CCCCCC" w:sz="1"/>
            </w:tcBorders>
            <w:shd w:fill="D6E4F0" w:val="clear"/>
            <w:tcMar>
              <w:top w:type="dxa" w:w="80"/>
              <w:left w:type="dxa" w:w="120"/>
              <w:bottom w:type="dxa" w:w="80"/>
              <w:right w:type="dxa" w:w="120"/>
            </w:tcMar>
          </w:tcPr>
          <w:p>
            <w:r>
              <w:rPr>
                <w:rFonts w:ascii="Arial" w:cs="Arial" w:eastAsia="Arial" w:hAnsi="Arial"/>
                <w:b/>
                <w:bCs/>
                <w:sz w:val="22"/>
                <w:szCs w:val="22"/>
              </w:rPr>
              <w:t xml:space="preserve">Líneas de fuego</w:t>
            </w:r>
          </w:p>
        </w:tc>
        <w:tc>
          <w:tcPr>
            <w:tcW w:type="dxa" w:w="358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sz w:val="22"/>
                <w:szCs w:val="22"/>
              </w:rPr>
              <w:t xml:space="preserve">Radar STIR / CAS</w:t>
            </w:r>
          </w:p>
        </w:tc>
        <w:tc>
          <w:tcPr>
            <w:tcW w:type="dxa" w:w="358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sz w:val="22"/>
                <w:szCs w:val="22"/>
              </w:rPr>
              <w:t xml:space="preserve">Iluminación y control de fuego para guía de misiles y artillería</w:t>
            </w:r>
          </w:p>
        </w:tc>
      </w:tr>
      <w:tr>
        <w:tc>
          <w:tcPr>
            <w:tcW w:type="dxa" w:w="2200"/>
            <w:tcBorders>
              <w:top w:val="single" w:color="CCCCCC" w:sz="1"/>
              <w:left w:val="single" w:color="CCCCCC" w:sz="1"/>
              <w:bottom w:val="single" w:color="CCCCCC" w:sz="1"/>
              <w:right w:val="single" w:color="CCCCCC" w:sz="1"/>
            </w:tcBorders>
            <w:shd w:fill="EBF4FB" w:val="clear"/>
            <w:tcMar>
              <w:top w:type="dxa" w:w="80"/>
              <w:left w:type="dxa" w:w="120"/>
              <w:bottom w:type="dxa" w:w="80"/>
              <w:right w:type="dxa" w:w="120"/>
            </w:tcMar>
          </w:tcPr>
          <w:p>
            <w:r>
              <w:rPr>
                <w:rFonts w:ascii="Arial" w:cs="Arial" w:eastAsia="Arial" w:hAnsi="Arial"/>
                <w:b/>
                <w:bCs/>
                <w:sz w:val="22"/>
                <w:szCs w:val="22"/>
              </w:rPr>
              <w:t xml:space="preserve">C2 / Enlace</w:t>
            </w:r>
          </w:p>
        </w:tc>
        <w:tc>
          <w:tcPr>
            <w:tcW w:type="dxa" w:w="3580"/>
            <w:tcBorders>
              <w:top w:val="single" w:color="CCCCCC" w:sz="1"/>
              <w:left w:val="single" w:color="CCCCCC" w:sz="1"/>
              <w:bottom w:val="single" w:color="CCCCCC" w:sz="1"/>
              <w:right w:val="single" w:color="CCCCCC" w:sz="1"/>
            </w:tcBorders>
            <w:shd w:fill="EBF4FB" w:val="clear"/>
            <w:tcMar>
              <w:top w:type="dxa" w:w="80"/>
              <w:left w:type="dxa" w:w="120"/>
              <w:bottom w:type="dxa" w:w="80"/>
              <w:right w:type="dxa" w:w="120"/>
            </w:tcMar>
          </w:tcPr>
          <w:p>
            <w:r>
              <w:rPr>
                <w:rFonts w:ascii="Arial" w:cs="Arial" w:eastAsia="Arial" w:hAnsi="Arial"/>
                <w:sz w:val="22"/>
                <w:szCs w:val="22"/>
              </w:rPr>
              <w:t xml:space="preserve">Link Nacional / Link 16</w:t>
            </w:r>
          </w:p>
        </w:tc>
        <w:tc>
          <w:tcPr>
            <w:tcW w:type="dxa" w:w="3580"/>
            <w:tcBorders>
              <w:top w:val="single" w:color="CCCCCC" w:sz="1"/>
              <w:left w:val="single" w:color="CCCCCC" w:sz="1"/>
              <w:bottom w:val="single" w:color="CCCCCC" w:sz="1"/>
              <w:right w:val="single" w:color="CCCCCC" w:sz="1"/>
            </w:tcBorders>
            <w:shd w:fill="EBF4FB" w:val="clear"/>
            <w:tcMar>
              <w:top w:type="dxa" w:w="80"/>
              <w:left w:type="dxa" w:w="120"/>
              <w:bottom w:type="dxa" w:w="80"/>
              <w:right w:type="dxa" w:w="120"/>
            </w:tcMar>
          </w:tcPr>
          <w:p>
            <w:r>
              <w:rPr>
                <w:rFonts w:ascii="Arial" w:cs="Arial" w:eastAsia="Arial" w:hAnsi="Arial"/>
                <w:sz w:val="22"/>
                <w:szCs w:val="22"/>
              </w:rPr>
              <w:t xml:space="preserve">Interoperabilidad con mando conjunto y fuerzas aliadas; alimentación del COP/CTP</w:t>
            </w:r>
          </w:p>
        </w:tc>
      </w:tr>
    </w:tbl>
    <w:p>
      <w:pPr>
        <w:pBdr>
          <w:bottom w:val="single" w:color="2E75B6" w:sz="4" w:space="1"/>
        </w:pBdr>
        <w:spacing w:after="160" w:before="160"/>
      </w:pPr>
    </w:p>
    <w:p>
      <w:pPr>
        <w:pStyle w:val="Heading1"/>
        <w:spacing w:after="160" w:before="320"/>
      </w:pPr>
      <w:r>
        <w:rPr>
          <w:rFonts w:ascii="Arial" w:cs="Arial" w:eastAsia="Arial" w:hAnsi="Arial"/>
          <w:b/>
          <w:bCs/>
          <w:color w:val="1F4E79"/>
          <w:sz w:val="28"/>
          <w:szCs w:val="28"/>
        </w:rPr>
        <w:t xml:space="preserve">4. Contribución a la Maniobra Conjunta</w:t>
      </w:r>
    </w:p>
    <w:p>
      <w:pPr>
        <w:spacing w:after="80" w:before="80"/>
      </w:pPr>
      <w:r>
        <w:rPr>
          <w:rFonts w:ascii="Arial" w:cs="Arial" w:eastAsia="Arial" w:hAnsi="Arial"/>
          <w:sz w:val="22"/>
          <w:szCs w:val="22"/>
        </w:rPr>
        <w:t xml:space="preserve">La fortaleza fundamental del buque es su movilidad estratégica combinada con capacidad multidominio. Puede reposicionarse en horas hacia donde el mando conjunto necesite masa de efectos, ya sea defensa antiaérea, negación marítima, apoyo de fuego o conciencia situacional. A continuación se detallan las ocho contribuciones identificadas:</w:t>
      </w:r>
    </w:p>
    <w:p>
      <w:pPr>
        <w:spacing w:before="120"/>
      </w:pPr>
    </w:p>
    <w:p>
      <w:pPr>
        <w:pStyle w:val="Heading2"/>
        <w:spacing w:after="120" w:before="240"/>
      </w:pPr>
      <w:r>
        <w:rPr>
          <w:rFonts w:ascii="Arial" w:cs="Arial" w:eastAsia="Arial" w:hAnsi="Arial"/>
          <w:b/>
          <w:bCs/>
          <w:color w:val="2E75B6"/>
          <w:sz w:val="24"/>
          <w:szCs w:val="24"/>
        </w:rPr>
        <w:t xml:space="preserve">4.1 Defensa Antiaérea de Bases Militares y Activos Estratégicos Costeros</w:t>
      </w:r>
    </w:p>
    <w:p>
      <w:pPr>
        <w:spacing w:after="80" w:before="80"/>
      </w:pPr>
      <w:r>
        <w:rPr>
          <w:rFonts w:ascii="Arial" w:cs="Arial" w:eastAsia="Arial" w:hAnsi="Arial"/>
          <w:sz w:val="22"/>
          <w:szCs w:val="22"/>
        </w:rPr>
        <w:t xml:space="preserve">Con SM-2 y ESSM, el buque puede establecer una burbuja de defensa antiaérea de área extendida sobre instalaciones estratégicas en tierra: bases aéreas, puertos, centros de mando y logística. Esto libera recursos de defensa antiaérea terrestre (baterías SHORAD, MANPADS) para otras misiones. Su valor es especialmente crítico ante amenazas de misiles balísticos tácticos o misiles de crucero de largo alcance.</w:t>
      </w:r>
    </w:p>
    <w:p>
      <w:pPr>
        <w:pStyle w:val="Heading2"/>
        <w:spacing w:after="120" w:before="240"/>
      </w:pPr>
      <w:r>
        <w:rPr>
          <w:rFonts w:ascii="Arial" w:cs="Arial" w:eastAsia="Arial" w:hAnsi="Arial"/>
          <w:b/>
          <w:bCs/>
          <w:color w:val="2E75B6"/>
          <w:sz w:val="24"/>
          <w:szCs w:val="24"/>
        </w:rPr>
        <w:t xml:space="preserve">4.2 Contribución al Combate Aéreo del Órgano de Maniobra Aéreo</w:t>
      </w:r>
    </w:p>
    <w:p>
      <w:pPr>
        <w:spacing w:after="80" w:before="80"/>
      </w:pPr>
      <w:r>
        <w:rPr>
          <w:rFonts w:ascii="Arial" w:cs="Arial" w:eastAsia="Arial" w:hAnsi="Arial"/>
          <w:sz w:val="22"/>
          <w:szCs w:val="22"/>
        </w:rPr>
        <w:t xml:space="preserve">Mediante el Link 16, el buque puede actuar como nodo de control y custodia aérea, extendiendo la cobertura del SPS-49 sobre el mar y zonas costeras con ángulo muerto para los radares terrestres. Puede guiar interceptores propios hacia blancos detectados, funcionando como un picket radar flotante que amplía el volumen de combate aéreo hacia el litoral.</w:t>
      </w:r>
    </w:p>
    <w:p>
      <w:pPr>
        <w:pStyle w:val="Heading2"/>
        <w:spacing w:after="120" w:before="240"/>
      </w:pPr>
      <w:r>
        <w:rPr>
          <w:rFonts w:ascii="Arial" w:cs="Arial" w:eastAsia="Arial" w:hAnsi="Arial"/>
          <w:b/>
          <w:bCs/>
          <w:color w:val="2E75B6"/>
          <w:sz w:val="24"/>
          <w:szCs w:val="24"/>
        </w:rPr>
        <w:t xml:space="preserve">4.3 Alimentación del Panorama Conjunto (COP/CTP)</w:t>
      </w:r>
    </w:p>
    <w:p>
      <w:pPr>
        <w:spacing w:after="80" w:before="80"/>
      </w:pPr>
      <w:r>
        <w:rPr>
          <w:rFonts w:ascii="Arial" w:cs="Arial" w:eastAsia="Arial" w:hAnsi="Arial"/>
          <w:sz w:val="22"/>
          <w:szCs w:val="22"/>
        </w:rPr>
        <w:t xml:space="preserve">Los sensores SPS-49 (búsqueda aérea de largo alcance) y SPS-55 (búsqueda de superficie) alimentan, vía link nacional y Link 16, el cuadro operacional común. Esto permite al mando conjunto mantener conciencia situacional en los dominios marítimo y aéreo costero, siendo un insumo crítico para la toma de decisiones en tiempo real.</w:t>
      </w:r>
    </w:p>
    <w:p>
      <w:pPr>
        <w:pStyle w:val="Heading2"/>
        <w:spacing w:after="120" w:before="240"/>
      </w:pPr>
      <w:r>
        <w:rPr>
          <w:rFonts w:ascii="Arial" w:cs="Arial" w:eastAsia="Arial" w:hAnsi="Arial"/>
          <w:b/>
          <w:bCs/>
          <w:color w:val="2E75B6"/>
          <w:sz w:val="24"/>
          <w:szCs w:val="24"/>
        </w:rPr>
        <w:t xml:space="preserve">4.4 Negación de Área Marítima (Sea Denial / Sea Control)</w:t>
      </w:r>
    </w:p>
    <w:p>
      <w:pPr>
        <w:spacing w:after="80" w:before="80"/>
      </w:pPr>
      <w:r>
        <w:rPr>
          <w:rFonts w:ascii="Arial" w:cs="Arial" w:eastAsia="Arial" w:hAnsi="Arial"/>
          <w:sz w:val="22"/>
          <w:szCs w:val="22"/>
        </w:rPr>
        <w:t xml:space="preserve">Con el Exocet MM-40 Block 3 a ~180 km de alcance y trayectoria programable por waypoints, el buque puede interdictar líneas de comunicación marítimas enemigas y negar el uso del mar a fuerzas anfibias o logísticas adversarias. El mayor alcance respecto al Harpoon mantiene al buque fuera del rango de sistemas de defensa de punto enemigos, incrementando su supervivencia.</w:t>
      </w:r>
    </w:p>
    <w:p>
      <w:pPr>
        <w:pStyle w:val="Heading2"/>
        <w:spacing w:after="120" w:before="240"/>
      </w:pPr>
      <w:r>
        <w:rPr>
          <w:rFonts w:ascii="Arial" w:cs="Arial" w:eastAsia="Arial" w:hAnsi="Arial"/>
          <w:b/>
          <w:bCs/>
          <w:color w:val="2E75B6"/>
          <w:sz w:val="24"/>
          <w:szCs w:val="24"/>
        </w:rPr>
        <w:t xml:space="preserve">4.5 Ataque de Precisión a Objetivos Costeros en Profundidad</w:t>
      </w:r>
    </w:p>
    <w:p>
      <w:pPr>
        <w:spacing w:after="80" w:before="80"/>
      </w:pPr>
      <w:r>
        <w:rPr>
          <w:rFonts w:ascii="Arial" w:cs="Arial" w:eastAsia="Arial" w:hAnsi="Arial"/>
          <w:sz w:val="22"/>
          <w:szCs w:val="22"/>
        </w:rPr>
        <w:t xml:space="preserve">El Exocet MM-40 Block 3 incorpora guía GPS/INS que le otorga capacidad de ataque a objetivos en tierra. Esto permite batir instalaciones costeras enemigas, nodos logísticos, radares de costa y puntos de desembarco con un misil de ~180 km de alcance. Esta capacidad — ausente en el Harpoon — amplía el rol del buque hacia la campaña de supresión de defensas costeras enemigas (SEAD marítimo / ataque a tierra), contribuyendo directamente al órgano de maniobra terrestre y aéreo.</w:t>
      </w:r>
    </w:p>
    <w:p>
      <w:pPr>
        <w:pStyle w:val="Heading2"/>
        <w:spacing w:after="120" w:before="240"/>
      </w:pPr>
      <w:r>
        <w:rPr>
          <w:rFonts w:ascii="Arial" w:cs="Arial" w:eastAsia="Arial" w:hAnsi="Arial"/>
          <w:b/>
          <w:bCs/>
          <w:color w:val="2E75B6"/>
          <w:sz w:val="24"/>
          <w:szCs w:val="24"/>
        </w:rPr>
        <w:t xml:space="preserve">4.6 Escolta y Protección de Operaciones de Proyección de Poder</w:t>
      </w:r>
    </w:p>
    <w:p>
      <w:pPr>
        <w:spacing w:after="80" w:before="80"/>
      </w:pPr>
      <w:r>
        <w:rPr>
          <w:rFonts w:ascii="Arial" w:cs="Arial" w:eastAsia="Arial" w:hAnsi="Arial"/>
          <w:sz w:val="22"/>
          <w:szCs w:val="22"/>
        </w:rPr>
        <w:t xml:space="preserve">En operaciones anfibias o de evacuación de no combatientes (NEO), el buque puede escoltar grupos de tarea proveyendo simultáneamente defensa antiaérea de área (SM-2, ESSM), defensa antisubmarina y acción de superficie. Esta capacidad de integrar los tres roles asignados en forma simultánea lo convierte en el activo de escolta más versátil disponible para el mando conjunto.</w:t>
      </w:r>
    </w:p>
    <w:p>
      <w:pPr>
        <w:pStyle w:val="Heading2"/>
        <w:spacing w:after="120" w:before="240"/>
      </w:pPr>
      <w:r>
        <w:rPr>
          <w:rFonts w:ascii="Arial" w:cs="Arial" w:eastAsia="Arial" w:hAnsi="Arial"/>
          <w:b/>
          <w:bCs/>
          <w:color w:val="2E75B6"/>
          <w:sz w:val="24"/>
          <w:szCs w:val="24"/>
        </w:rPr>
        <w:t xml:space="preserve">4.7 Apoyo de Fuego Naval en Zona Litoral</w:t>
      </w:r>
    </w:p>
    <w:p>
      <w:pPr>
        <w:spacing w:after="80" w:before="80"/>
      </w:pPr>
      <w:r>
        <w:rPr>
          <w:rFonts w:ascii="Arial" w:cs="Arial" w:eastAsia="Arial" w:hAnsi="Arial"/>
          <w:sz w:val="22"/>
          <w:szCs w:val="22"/>
        </w:rPr>
        <w:t xml:space="preserve">El cañón de 76mm puede proporcionar apoyo de fuego directo a fuerzas terrestres en zonas costeras, complementando la artillería del órgano de maniobra terrestre en operaciones litorales y anfibias. Ofrece cadencia de fuego elevada, bajo costo por disparo y capacidad de respuesta inmediata en zonas donde la artillería terrestre aún no ha desplegado.</w:t>
      </w:r>
    </w:p>
    <w:p>
      <w:pPr>
        <w:pStyle w:val="Heading2"/>
        <w:spacing w:after="120" w:before="240"/>
      </w:pPr>
      <w:r>
        <w:rPr>
          <w:rFonts w:ascii="Arial" w:cs="Arial" w:eastAsia="Arial" w:hAnsi="Arial"/>
          <w:b/>
          <w:bCs/>
          <w:color w:val="2E75B6"/>
          <w:sz w:val="24"/>
          <w:szCs w:val="24"/>
        </w:rPr>
        <w:t xml:space="preserve">4.8 Nodo de Mando y Control Flotante Resiliente</w:t>
      </w:r>
    </w:p>
    <w:p>
      <w:pPr>
        <w:spacing w:after="80" w:before="80"/>
      </w:pPr>
      <w:r>
        <w:rPr>
          <w:rFonts w:ascii="Arial" w:cs="Arial" w:eastAsia="Arial" w:hAnsi="Arial"/>
          <w:sz w:val="22"/>
          <w:szCs w:val="22"/>
        </w:rPr>
        <w:t xml:space="preserve">En escenarios de degradación de infraestructura terrestre — por ataques enemigos o desastres — el buque con Link 16 y link nacional puede actuar como nodo C2 alternativo o relay de comunicaciones para el mando conjunto, manteniendo la continuidad del mando en condiciones de negación del territorio.</w:t>
      </w:r>
    </w:p>
    <w:p>
      <w:pPr>
        <w:pBdr>
          <w:bottom w:val="single" w:color="2E75B6" w:sz="4" w:space="1"/>
        </w:pBdr>
        <w:spacing w:after="160" w:before="160"/>
      </w:pPr>
    </w:p>
    <w:p>
      <w:pPr>
        <w:pStyle w:val="Heading1"/>
        <w:spacing w:after="160" w:before="320"/>
      </w:pPr>
      <w:r>
        <w:rPr>
          <w:rFonts w:ascii="Arial" w:cs="Arial" w:eastAsia="Arial" w:hAnsi="Arial"/>
          <w:b/>
          <w:bCs/>
          <w:color w:val="1F4E79"/>
          <w:sz w:val="28"/>
          <w:szCs w:val="28"/>
        </w:rPr>
        <w:t xml:space="preserve">5. Comparación Exocet MM-40 Block 3 vs. Harpoon</w:t>
      </w:r>
    </w:p>
    <w:p>
      <w:pPr>
        <w:spacing w:after="80" w:before="80"/>
      </w:pPr>
      <w:r>
        <w:rPr>
          <w:rFonts w:ascii="Arial" w:cs="Arial" w:eastAsia="Arial" w:hAnsi="Arial"/>
          <w:sz w:val="22"/>
          <w:szCs w:val="22"/>
        </w:rPr>
        <w:t xml:space="preserve">El cambio de armamento principal de A/S introduce diferencias operacionales significativas que amplían el espectro de contribución conjunta:</w:t>
      </w:r>
    </w:p>
    <w:p>
      <w:pPr>
        <w:spacing w:before="12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800"/>
        <w:gridCol w:w="3280"/>
        <w:gridCol w:w="3280"/>
      </w:tblGrid>
      <w:tr>
        <w:tc>
          <w:tcPr>
            <w:tcW w:type="dxa" w:w="2800"/>
            <w:tcBorders>
              <w:top w:val="single" w:color="1F4E79" w:sz="1"/>
              <w:left w:val="single" w:color="1F4E79" w:sz="1"/>
              <w:bottom w:val="single" w:color="1F4E79" w:sz="1"/>
              <w:right w:val="single" w:color="1F4E79" w:sz="1"/>
            </w:tcBorders>
            <w:shd w:fill="1F4E79" w:val="clear"/>
            <w:tcMar>
              <w:top w:type="dxa" w:w="80"/>
              <w:left w:type="dxa" w:w="120"/>
              <w:bottom w:type="dxa" w:w="80"/>
              <w:right w:type="dxa" w:w="120"/>
            </w:tcMar>
          </w:tcPr>
          <w:p>
            <w:r>
              <w:rPr>
                <w:rFonts w:ascii="Arial" w:cs="Arial" w:eastAsia="Arial" w:hAnsi="Arial"/>
                <w:b/>
                <w:bCs/>
                <w:color w:val="FFFFFF"/>
                <w:sz w:val="22"/>
                <w:szCs w:val="22"/>
              </w:rPr>
              <w:t xml:space="preserve">Característica</w:t>
            </w:r>
          </w:p>
        </w:tc>
        <w:tc>
          <w:tcPr>
            <w:tcW w:type="dxa" w:w="3280"/>
            <w:tcBorders>
              <w:top w:val="single" w:color="1F4E79" w:sz="1"/>
              <w:left w:val="single" w:color="1F4E79" w:sz="1"/>
              <w:bottom w:val="single" w:color="1F4E79" w:sz="1"/>
              <w:right w:val="single" w:color="1F4E79" w:sz="1"/>
            </w:tcBorders>
            <w:shd w:fill="1F4E79" w:val="clear"/>
            <w:tcMar>
              <w:top w:type="dxa" w:w="80"/>
              <w:left w:type="dxa" w:w="120"/>
              <w:bottom w:type="dxa" w:w="80"/>
              <w:right w:type="dxa" w:w="120"/>
            </w:tcMar>
          </w:tcPr>
          <w:p>
            <w:r>
              <w:rPr>
                <w:rFonts w:ascii="Arial" w:cs="Arial" w:eastAsia="Arial" w:hAnsi="Arial"/>
                <w:b/>
                <w:bCs/>
                <w:color w:val="FFFFFF"/>
                <w:sz w:val="22"/>
                <w:szCs w:val="22"/>
              </w:rPr>
              <w:t xml:space="preserve">Harpoon</w:t>
            </w:r>
          </w:p>
        </w:tc>
        <w:tc>
          <w:tcPr>
            <w:tcW w:type="dxa" w:w="3280"/>
            <w:tcBorders>
              <w:top w:val="single" w:color="1F4E79" w:sz="1"/>
              <w:left w:val="single" w:color="1F4E79" w:sz="1"/>
              <w:bottom w:val="single" w:color="1F4E79" w:sz="1"/>
              <w:right w:val="single" w:color="1F4E79" w:sz="1"/>
            </w:tcBorders>
            <w:shd w:fill="1F4E79" w:val="clear"/>
            <w:tcMar>
              <w:top w:type="dxa" w:w="80"/>
              <w:left w:type="dxa" w:w="120"/>
              <w:bottom w:type="dxa" w:w="80"/>
              <w:right w:type="dxa" w:w="120"/>
            </w:tcMar>
          </w:tcPr>
          <w:p>
            <w:r>
              <w:rPr>
                <w:rFonts w:ascii="Arial" w:cs="Arial" w:eastAsia="Arial" w:hAnsi="Arial"/>
                <w:b/>
                <w:bCs/>
                <w:color w:val="FFFFFF"/>
                <w:sz w:val="22"/>
                <w:szCs w:val="22"/>
              </w:rPr>
              <w:t xml:space="preserve">Exocet MM-40 Block 3</w:t>
            </w:r>
          </w:p>
        </w:tc>
      </w:tr>
      <w:tr>
        <w:tc>
          <w:tcPr>
            <w:tcW w:type="dxa" w:w="2800"/>
            <w:tcBorders>
              <w:top w:val="single" w:color="CCCCCC" w:sz="1"/>
              <w:left w:val="single" w:color="CCCCCC" w:sz="1"/>
              <w:bottom w:val="single" w:color="CCCCCC" w:sz="1"/>
              <w:right w:val="single" w:color="CCCCCC" w:sz="1"/>
            </w:tcBorders>
            <w:shd w:fill="D6E4F0" w:val="clear"/>
            <w:tcMar>
              <w:top w:type="dxa" w:w="80"/>
              <w:left w:type="dxa" w:w="120"/>
              <w:bottom w:type="dxa" w:w="80"/>
              <w:right w:type="dxa" w:w="120"/>
            </w:tcMar>
          </w:tcPr>
          <w:p>
            <w:r>
              <w:rPr>
                <w:rFonts w:ascii="Arial" w:cs="Arial" w:eastAsia="Arial" w:hAnsi="Arial"/>
                <w:b/>
                <w:bCs/>
                <w:sz w:val="22"/>
                <w:szCs w:val="22"/>
              </w:rPr>
              <w:t xml:space="preserve">Alcance</w:t>
            </w:r>
          </w:p>
        </w:tc>
        <w:tc>
          <w:tcPr>
            <w:tcW w:type="dxa" w:w="3280"/>
            <w:tcBorders>
              <w:top w:val="single" w:color="CCCCCC" w:sz="1"/>
              <w:left w:val="single" w:color="CCCCCC" w:sz="1"/>
              <w:bottom w:val="single" w:color="CCCCCC" w:sz="1"/>
              <w:right w:val="single" w:color="CCCCCC" w:sz="1"/>
            </w:tcBorders>
            <w:shd w:fill="D6E4F0" w:val="clear"/>
            <w:tcMar>
              <w:top w:type="dxa" w:w="80"/>
              <w:left w:type="dxa" w:w="120"/>
              <w:bottom w:type="dxa" w:w="80"/>
              <w:right w:type="dxa" w:w="120"/>
            </w:tcMar>
          </w:tcPr>
          <w:p>
            <w:r>
              <w:rPr>
                <w:rFonts w:ascii="Arial" w:cs="Arial" w:eastAsia="Arial" w:hAnsi="Arial"/>
                <w:b w:val="false"/>
                <w:bCs w:val="false"/>
                <w:sz w:val="22"/>
                <w:szCs w:val="22"/>
              </w:rPr>
              <w:t xml:space="preserve">~130 km</w:t>
            </w:r>
          </w:p>
        </w:tc>
        <w:tc>
          <w:tcPr>
            <w:tcW w:type="dxa" w:w="3280"/>
            <w:tcBorders>
              <w:top w:val="single" w:color="CCCCCC" w:sz="1"/>
              <w:left w:val="single" w:color="CCCCCC" w:sz="1"/>
              <w:bottom w:val="single" w:color="CCCCCC" w:sz="1"/>
              <w:right w:val="single" w:color="CCCCCC" w:sz="1"/>
            </w:tcBorders>
            <w:shd w:fill="D6E4F0" w:val="clear"/>
            <w:tcMar>
              <w:top w:type="dxa" w:w="80"/>
              <w:left w:type="dxa" w:w="120"/>
              <w:bottom w:type="dxa" w:w="80"/>
              <w:right w:type="dxa" w:w="120"/>
            </w:tcMar>
          </w:tcPr>
          <w:p>
            <w:r>
              <w:rPr>
                <w:rFonts w:ascii="Arial" w:cs="Arial" w:eastAsia="Arial" w:hAnsi="Arial"/>
                <w:b w:val="false"/>
                <w:bCs w:val="false"/>
                <w:sz w:val="22"/>
                <w:szCs w:val="22"/>
              </w:rPr>
              <w:t xml:space="preserve">~180 km</w:t>
            </w:r>
          </w:p>
        </w:tc>
      </w:tr>
      <w:tr>
        <w:tc>
          <w:tcPr>
            <w:tcW w:type="dxa" w:w="2800"/>
            <w:tcBorders>
              <w:top w:val="single" w:color="CCCCCC" w:sz="1"/>
              <w:left w:val="single" w:color="CCCCCC" w:sz="1"/>
              <w:bottom w:val="single" w:color="CCCCCC" w:sz="1"/>
              <w:right w:val="single" w:color="CCCCCC" w:sz="1"/>
            </w:tcBorders>
            <w:shd w:fill="EBF4FB" w:val="clear"/>
            <w:tcMar>
              <w:top w:type="dxa" w:w="80"/>
              <w:left w:type="dxa" w:w="120"/>
              <w:bottom w:type="dxa" w:w="80"/>
              <w:right w:type="dxa" w:w="120"/>
            </w:tcMar>
          </w:tcPr>
          <w:p>
            <w:r>
              <w:rPr>
                <w:rFonts w:ascii="Arial" w:cs="Arial" w:eastAsia="Arial" w:hAnsi="Arial"/>
                <w:b/>
                <w:bCs/>
                <w:sz w:val="22"/>
                <w:szCs w:val="22"/>
              </w:rPr>
              <w:t xml:space="preserve">Guía terminal</w:t>
            </w:r>
          </w:p>
        </w:tc>
        <w:tc>
          <w:tcPr>
            <w:tcW w:type="dxa" w:w="3280"/>
            <w:tcBorders>
              <w:top w:val="single" w:color="CCCCCC" w:sz="1"/>
              <w:left w:val="single" w:color="CCCCCC" w:sz="1"/>
              <w:bottom w:val="single" w:color="CCCCCC" w:sz="1"/>
              <w:right w:val="single" w:color="CCCCCC" w:sz="1"/>
            </w:tcBorders>
            <w:shd w:fill="EBF4FB" w:val="clear"/>
            <w:tcMar>
              <w:top w:type="dxa" w:w="80"/>
              <w:left w:type="dxa" w:w="120"/>
              <w:bottom w:type="dxa" w:w="80"/>
              <w:right w:type="dxa" w:w="120"/>
            </w:tcMar>
          </w:tcPr>
          <w:p>
            <w:r>
              <w:rPr>
                <w:rFonts w:ascii="Arial" w:cs="Arial" w:eastAsia="Arial" w:hAnsi="Arial"/>
                <w:b w:val="false"/>
                <w:bCs w:val="false"/>
                <w:sz w:val="22"/>
                <w:szCs w:val="22"/>
              </w:rPr>
              <w:t xml:space="preserve">Radar activo</w:t>
            </w:r>
          </w:p>
        </w:tc>
        <w:tc>
          <w:tcPr>
            <w:tcW w:type="dxa" w:w="3280"/>
            <w:tcBorders>
              <w:top w:val="single" w:color="CCCCCC" w:sz="1"/>
              <w:left w:val="single" w:color="CCCCCC" w:sz="1"/>
              <w:bottom w:val="single" w:color="CCCCCC" w:sz="1"/>
              <w:right w:val="single" w:color="CCCCCC" w:sz="1"/>
            </w:tcBorders>
            <w:shd w:fill="EBF4FB" w:val="clear"/>
            <w:tcMar>
              <w:top w:type="dxa" w:w="80"/>
              <w:left w:type="dxa" w:w="120"/>
              <w:bottom w:type="dxa" w:w="80"/>
              <w:right w:type="dxa" w:w="120"/>
            </w:tcMar>
          </w:tcPr>
          <w:p>
            <w:r>
              <w:rPr>
                <w:rFonts w:ascii="Arial" w:cs="Arial" w:eastAsia="Arial" w:hAnsi="Arial"/>
                <w:b w:val="false"/>
                <w:bCs w:val="false"/>
                <w:sz w:val="22"/>
                <w:szCs w:val="22"/>
              </w:rPr>
              <w:t xml:space="preserve">Radar activo + GPS/INS</w:t>
            </w:r>
          </w:p>
        </w:tc>
      </w:tr>
      <w:tr>
        <w:tc>
          <w:tcPr>
            <w:tcW w:type="dxa" w:w="2800"/>
            <w:tcBorders>
              <w:top w:val="single" w:color="CCCCCC" w:sz="1"/>
              <w:left w:val="single" w:color="CCCCCC" w:sz="1"/>
              <w:bottom w:val="single" w:color="CCCCCC" w:sz="1"/>
              <w:right w:val="single" w:color="CCCCCC" w:sz="1"/>
            </w:tcBorders>
            <w:shd w:fill="D6E4F0" w:val="clear"/>
            <w:tcMar>
              <w:top w:type="dxa" w:w="80"/>
              <w:left w:type="dxa" w:w="120"/>
              <w:bottom w:type="dxa" w:w="80"/>
              <w:right w:type="dxa" w:w="120"/>
            </w:tcMar>
          </w:tcPr>
          <w:p>
            <w:r>
              <w:rPr>
                <w:rFonts w:ascii="Arial" w:cs="Arial" w:eastAsia="Arial" w:hAnsi="Arial"/>
                <w:b/>
                <w:bCs/>
                <w:sz w:val="22"/>
                <w:szCs w:val="22"/>
              </w:rPr>
              <w:t xml:space="preserve">Capacidad tierra</w:t>
            </w:r>
          </w:p>
        </w:tc>
        <w:tc>
          <w:tcPr>
            <w:tcW w:type="dxa" w:w="3280"/>
            <w:tcBorders>
              <w:top w:val="single" w:color="CCCCCC" w:sz="1"/>
              <w:left w:val="single" w:color="CCCCCC" w:sz="1"/>
              <w:bottom w:val="single" w:color="CCCCCC" w:sz="1"/>
              <w:right w:val="single" w:color="CCCCCC" w:sz="1"/>
            </w:tcBorders>
            <w:shd w:fill="D6E4F0" w:val="clear"/>
            <w:tcMar>
              <w:top w:type="dxa" w:w="80"/>
              <w:left w:type="dxa" w:w="120"/>
              <w:bottom w:type="dxa" w:w="80"/>
              <w:right w:type="dxa" w:w="120"/>
            </w:tcMar>
          </w:tcPr>
          <w:p>
            <w:r>
              <w:rPr>
                <w:rFonts w:ascii="Arial" w:cs="Arial" w:eastAsia="Arial" w:hAnsi="Arial"/>
                <w:b w:val="false"/>
                <w:bCs w:val="false"/>
                <w:sz w:val="22"/>
                <w:szCs w:val="22"/>
              </w:rPr>
              <w:t xml:space="preserve">No</w:t>
            </w:r>
          </w:p>
        </w:tc>
        <w:tc>
          <w:tcPr>
            <w:tcW w:type="dxa" w:w="3280"/>
            <w:tcBorders>
              <w:top w:val="single" w:color="CCCCCC" w:sz="1"/>
              <w:left w:val="single" w:color="CCCCCC" w:sz="1"/>
              <w:bottom w:val="single" w:color="CCCCCC" w:sz="1"/>
              <w:right w:val="single" w:color="CCCCCC" w:sz="1"/>
            </w:tcBorders>
            <w:shd w:fill="D6E4F0" w:val="clear"/>
            <w:tcMar>
              <w:top w:type="dxa" w:w="80"/>
              <w:left w:type="dxa" w:w="120"/>
              <w:bottom w:type="dxa" w:w="80"/>
              <w:right w:type="dxa" w:w="120"/>
            </w:tcMar>
          </w:tcPr>
          <w:p>
            <w:r>
              <w:rPr>
                <w:rFonts w:ascii="Arial" w:cs="Arial" w:eastAsia="Arial" w:hAnsi="Arial"/>
                <w:b w:val="false"/>
                <w:bCs w:val="false"/>
                <w:sz w:val="22"/>
                <w:szCs w:val="22"/>
              </w:rPr>
              <w:t xml:space="preserve">Sí (objetivos costeros)</w:t>
            </w:r>
          </w:p>
        </w:tc>
      </w:tr>
      <w:tr>
        <w:tc>
          <w:tcPr>
            <w:tcW w:type="dxa" w:w="2800"/>
            <w:tcBorders>
              <w:top w:val="single" w:color="CCCCCC" w:sz="1"/>
              <w:left w:val="single" w:color="CCCCCC" w:sz="1"/>
              <w:bottom w:val="single" w:color="CCCCCC" w:sz="1"/>
              <w:right w:val="single" w:color="CCCCCC" w:sz="1"/>
            </w:tcBorders>
            <w:shd w:fill="EBF4FB" w:val="clear"/>
            <w:tcMar>
              <w:top w:type="dxa" w:w="80"/>
              <w:left w:type="dxa" w:w="120"/>
              <w:bottom w:type="dxa" w:w="80"/>
              <w:right w:type="dxa" w:w="120"/>
            </w:tcMar>
          </w:tcPr>
          <w:p>
            <w:r>
              <w:rPr>
                <w:rFonts w:ascii="Arial" w:cs="Arial" w:eastAsia="Arial" w:hAnsi="Arial"/>
                <w:b/>
                <w:bCs/>
                <w:sz w:val="22"/>
                <w:szCs w:val="22"/>
              </w:rPr>
              <w:t xml:space="preserve">Trayectoria</w:t>
            </w:r>
          </w:p>
        </w:tc>
        <w:tc>
          <w:tcPr>
            <w:tcW w:type="dxa" w:w="3280"/>
            <w:tcBorders>
              <w:top w:val="single" w:color="CCCCCC" w:sz="1"/>
              <w:left w:val="single" w:color="CCCCCC" w:sz="1"/>
              <w:bottom w:val="single" w:color="CCCCCC" w:sz="1"/>
              <w:right w:val="single" w:color="CCCCCC" w:sz="1"/>
            </w:tcBorders>
            <w:shd w:fill="EBF4FB" w:val="clear"/>
            <w:tcMar>
              <w:top w:type="dxa" w:w="80"/>
              <w:left w:type="dxa" w:w="120"/>
              <w:bottom w:type="dxa" w:w="80"/>
              <w:right w:type="dxa" w:w="120"/>
            </w:tcMar>
          </w:tcPr>
          <w:p>
            <w:r>
              <w:rPr>
                <w:rFonts w:ascii="Arial" w:cs="Arial" w:eastAsia="Arial" w:hAnsi="Arial"/>
                <w:b w:val="false"/>
                <w:bCs w:val="false"/>
                <w:sz w:val="22"/>
                <w:szCs w:val="22"/>
              </w:rPr>
              <w:t xml:space="preserve">Sea skimming</w:t>
            </w:r>
          </w:p>
        </w:tc>
        <w:tc>
          <w:tcPr>
            <w:tcW w:type="dxa" w:w="3280"/>
            <w:tcBorders>
              <w:top w:val="single" w:color="CCCCCC" w:sz="1"/>
              <w:left w:val="single" w:color="CCCCCC" w:sz="1"/>
              <w:bottom w:val="single" w:color="CCCCCC" w:sz="1"/>
              <w:right w:val="single" w:color="CCCCCC" w:sz="1"/>
            </w:tcBorders>
            <w:shd w:fill="EBF4FB" w:val="clear"/>
            <w:tcMar>
              <w:top w:type="dxa" w:w="80"/>
              <w:left w:type="dxa" w:w="120"/>
              <w:bottom w:type="dxa" w:w="80"/>
              <w:right w:type="dxa" w:w="120"/>
            </w:tcMar>
          </w:tcPr>
          <w:p>
            <w:r>
              <w:rPr>
                <w:rFonts w:ascii="Arial" w:cs="Arial" w:eastAsia="Arial" w:hAnsi="Arial"/>
                <w:b w:val="false"/>
                <w:bCs w:val="false"/>
                <w:sz w:val="22"/>
                <w:szCs w:val="22"/>
              </w:rPr>
              <w:t xml:space="preserve">Sea skimming + waypoints programables</w:t>
            </w:r>
          </w:p>
        </w:tc>
      </w:tr>
      <w:tr>
        <w:tc>
          <w:tcPr>
            <w:tcW w:type="dxa" w:w="2800"/>
            <w:tcBorders>
              <w:top w:val="single" w:color="CCCCCC" w:sz="1"/>
              <w:left w:val="single" w:color="CCCCCC" w:sz="1"/>
              <w:bottom w:val="single" w:color="CCCCCC" w:sz="1"/>
              <w:right w:val="single" w:color="CCCCCC" w:sz="1"/>
            </w:tcBorders>
            <w:shd w:fill="D6E4F0" w:val="clear"/>
            <w:tcMar>
              <w:top w:type="dxa" w:w="80"/>
              <w:left w:type="dxa" w:w="120"/>
              <w:bottom w:type="dxa" w:w="80"/>
              <w:right w:type="dxa" w:w="120"/>
            </w:tcMar>
          </w:tcPr>
          <w:p>
            <w:r>
              <w:rPr>
                <w:rFonts w:ascii="Arial" w:cs="Arial" w:eastAsia="Arial" w:hAnsi="Arial"/>
                <w:b/>
                <w:bCs/>
                <w:sz w:val="22"/>
                <w:szCs w:val="22"/>
              </w:rPr>
              <w:t xml:space="preserve">Contribución conjunta</w:t>
            </w:r>
          </w:p>
        </w:tc>
        <w:tc>
          <w:tcPr>
            <w:tcW w:type="dxa" w:w="3280"/>
            <w:tcBorders>
              <w:top w:val="single" w:color="CCCCCC" w:sz="1"/>
              <w:left w:val="single" w:color="CCCCCC" w:sz="1"/>
              <w:bottom w:val="single" w:color="CCCCCC" w:sz="1"/>
              <w:right w:val="single" w:color="CCCCCC" w:sz="1"/>
            </w:tcBorders>
            <w:shd w:fill="D6E4F0" w:val="clear"/>
            <w:tcMar>
              <w:top w:type="dxa" w:w="80"/>
              <w:left w:type="dxa" w:w="120"/>
              <w:bottom w:type="dxa" w:w="80"/>
              <w:right w:type="dxa" w:w="120"/>
            </w:tcMar>
          </w:tcPr>
          <w:p>
            <w:r>
              <w:rPr>
                <w:rFonts w:ascii="Arial" w:cs="Arial" w:eastAsia="Arial" w:hAnsi="Arial"/>
                <w:b w:val="false"/>
                <w:bCs w:val="false"/>
                <w:sz w:val="22"/>
                <w:szCs w:val="22"/>
              </w:rPr>
              <w:t xml:space="preserve">Negación marítima</w:t>
            </w:r>
          </w:p>
        </w:tc>
        <w:tc>
          <w:tcPr>
            <w:tcW w:type="dxa" w:w="3280"/>
            <w:tcBorders>
              <w:top w:val="single" w:color="CCCCCC" w:sz="1"/>
              <w:left w:val="single" w:color="CCCCCC" w:sz="1"/>
              <w:bottom w:val="single" w:color="CCCCCC" w:sz="1"/>
              <w:right w:val="single" w:color="CCCCCC" w:sz="1"/>
            </w:tcBorders>
            <w:shd w:fill="D6E4F0" w:val="clear"/>
            <w:tcMar>
              <w:top w:type="dxa" w:w="80"/>
              <w:left w:type="dxa" w:w="120"/>
              <w:bottom w:type="dxa" w:w="80"/>
              <w:right w:type="dxa" w:w="120"/>
            </w:tcMar>
          </w:tcPr>
          <w:p>
            <w:r>
              <w:rPr>
                <w:rFonts w:ascii="Arial" w:cs="Arial" w:eastAsia="Arial" w:hAnsi="Arial"/>
                <w:b w:val="false"/>
                <w:bCs w:val="false"/>
                <w:sz w:val="22"/>
                <w:szCs w:val="22"/>
              </w:rPr>
              <w:t xml:space="preserve">Negación marítima + ataque a tierra</w:t>
            </w:r>
          </w:p>
        </w:tc>
      </w:tr>
    </w:tbl>
    <w:p>
      <w:pPr>
        <w:pBdr>
          <w:bottom w:val="single" w:color="2E75B6" w:sz="4" w:space="1"/>
        </w:pBdr>
        <w:spacing w:after="160" w:before="160"/>
      </w:pPr>
    </w:p>
    <w:p>
      <w:pPr>
        <w:pStyle w:val="Heading1"/>
        <w:spacing w:after="160" w:before="320"/>
      </w:pPr>
      <w:r>
        <w:rPr>
          <w:rFonts w:ascii="Arial" w:cs="Arial" w:eastAsia="Arial" w:hAnsi="Arial"/>
          <w:b/>
          <w:bCs/>
          <w:color w:val="1F4E79"/>
          <w:sz w:val="28"/>
          <w:szCs w:val="28"/>
        </w:rPr>
        <w:t xml:space="preserve">6. Conclusión</w:t>
      </w:r>
    </w:p>
    <w:p>
      <w:pPr>
        <w:spacing w:after="80" w:before="80"/>
      </w:pPr>
      <w:r>
        <w:rPr>
          <w:rFonts w:ascii="Arial" w:cs="Arial" w:eastAsia="Arial" w:hAnsi="Arial"/>
          <w:sz w:val="22"/>
          <w:szCs w:val="22"/>
        </w:rPr>
        <w:t xml:space="preserve">El buque analizado constituye un activo conjunto de alta versatilidad. Su capacidad para operar en los dominios aéreo, de superficie y submarino en forma simultánea, combinada con la interoperabilidad que otorga el Link 16 y el link nacional, lo posiciona como un multiplicador de fuerza para el mando conjunto.</w:t>
      </w:r>
    </w:p>
    <w:p>
      <w:pPr>
        <w:spacing w:after="80" w:before="80"/>
      </w:pPr>
    </w:p>
    <w:p>
      <w:pPr>
        <w:spacing w:after="80" w:before="80"/>
      </w:pPr>
      <w:r>
        <w:rPr>
          <w:rFonts w:ascii="Arial" w:cs="Arial" w:eastAsia="Arial" w:hAnsi="Arial"/>
          <w:sz w:val="22"/>
          <w:szCs w:val="22"/>
        </w:rPr>
        <w:t xml:space="preserve">La incorporación del Exocet MM-40 Block 3 — en reemplazo del Harpoon — amplía este rol de manera significativa al agregar capacidad de ataque de precisión a objetivos en tierra, extender la zona de negación marítima en ~50 km adicionales y dificultar la predicción del vector de ataque mediante trayectorias programables por waypoints.</w:t>
      </w:r>
    </w:p>
    <w:p>
      <w:pPr>
        <w:spacing w:after="80" w:before="80"/>
      </w:pPr>
    </w:p>
    <w:p>
      <w:pPr>
        <w:spacing w:after="80" w:before="80"/>
      </w:pPr>
      <w:r>
        <w:rPr>
          <w:rFonts w:ascii="Arial" w:cs="Arial" w:eastAsia="Arial" w:hAnsi="Arial"/>
          <w:b w:val="false"/>
          <w:bCs w:val="false"/>
          <w:sz w:val="22"/>
          <w:szCs w:val="22"/>
        </w:rPr>
        <w:t xml:space="preserve">En síntesis, el mando conjunto puede asignar a este buque tareas en la campaña terrestre costera sin depender exclusivamente de la aviación o de la artillería terrestre, incrementando la redundancia, la masa de efectos y la resiliencia del sistema de armas conjunto.</w:t>
      </w:r>
    </w:p>
    <w:p>
      <w:pPr>
        <w:pBdr>
          <w:bottom w:val="single" w:color="2E75B6" w:sz="4" w:space="1"/>
        </w:pBdr>
        <w:spacing w:after="160" w:before="160"/>
      </w:pPr>
    </w:p>
    <w:sectPr>
      <w:headerReference w:type="default" r:id="rId7"/>
      <w:footerReference w:type="default" r:id="rId8"/>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1F4E79" w:sz="4" w:space="4"/>
      </w:pBdr>
      <w:spacing w:before="120"/>
      <w:jc w:val="center"/>
    </w:pPr>
    <w:r>
      <w:rPr>
        <w:rFonts w:ascii="Arial" w:cs="Arial" w:eastAsia="Arial" w:hAnsi="Arial"/>
        <w:color w:val="666666"/>
        <w:sz w:val="18"/>
        <w:szCs w:val="18"/>
      </w:rPr>
      <w:t xml:space="preserve">Contribución a la Maniobra Conjunta  |  Página </w:t>
    </w:r>
    <w:r>
      <w:rPr>
        <w:rFonts w:ascii="Arial" w:cs="Arial" w:eastAsia="Arial" w:hAnsi="Arial"/>
        <w:color w:val="666666"/>
        <w:sz w:val="18"/>
        <w:szCs w:val="18"/>
      </w:rPr>
      <w:fldChar w:fldCharType="begin"/>
      <w:instrText xml:space="preserve">PAGE</w:instrText>
      <w:fldChar w:fldCharType="separate"/>
      <w:fldChar w:fldCharType="end"/>
    </w:r>
    <w:r>
      <w:rPr>
        <w:rFonts w:ascii="Arial" w:cs="Arial" w:eastAsia="Arial" w:hAnsi="Arial"/>
        <w:color w:val="666666"/>
        <w:sz w:val="18"/>
        <w:szCs w:val="18"/>
      </w:rPr>
      <w:t xml:space="preserve"> de </w:t>
    </w:r>
    <w:r>
      <w:rPr>
        <w:rFonts w:ascii="Arial" w:cs="Arial" w:eastAsia="Arial" w:hAnsi="Arial"/>
        <w:color w:val="666666"/>
        <w:sz w:val="18"/>
        <w:szCs w:val="18"/>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1F4E79" w:sz="4" w:space="4"/>
      </w:pBdr>
      <w:spacing w:after="120"/>
      <w:jc w:val="right"/>
    </w:pPr>
    <w:r>
      <w:rPr>
        <w:rFonts w:ascii="Arial" w:cs="Arial" w:eastAsia="Arial" w:hAnsi="Arial"/>
        <w:i/>
        <w:iCs/>
        <w:color w:val="666666"/>
        <w:sz w:val="18"/>
        <w:szCs w:val="18"/>
      </w:rPr>
      <w:t xml:space="preserve">ANÁLISIS OPERACIONAL  |  USO OFICIAL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abstractNum w:abstractNumId="3" w15:restartNumberingAfterBreak="0">
    <w:multiLevelType w:val="hybridMultilevel"/>
    <w:lvl w:ilvl="0" w15:tentative="1">
      <w:start w:val="1"/>
      <w:numFmt w:val="decimal"/>
      <w:lvlText w:val="%1."/>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60" w:before="320"/>
      <w:outlineLvl w:val="0"/>
    </w:pPr>
    <w:rPr>
      <w:rFonts w:ascii="Arial" w:cs="Arial" w:eastAsia="Arial" w:hAnsi="Arial"/>
      <w:b/>
      <w:bCs/>
      <w:color w:val="1F4E79"/>
      <w:sz w:val="28"/>
      <w:szCs w:val="28"/>
    </w:rPr>
  </w:style>
  <w:style w:type="paragraph" w:styleId="Heading2">
    <w:name w:val="Heading 2"/>
    <w:basedOn w:val="Normal"/>
    <w:next w:val="Normal"/>
    <w:qFormat/>
    <w:pPr>
      <w:spacing w:after="120" w:before="240"/>
      <w:outlineLvl w:val="1"/>
    </w:pPr>
    <w:rPr>
      <w:rFonts w:ascii="Arial" w:cs="Arial" w:eastAsia="Arial" w:hAnsi="Arial"/>
      <w:b/>
      <w:bCs/>
      <w:color w:val="2E75B6"/>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2026-04-16T15:59:28.984Z</dcterms:created>
  <dcterms:modified xsi:type="dcterms:W3CDTF">2026-04-16T15:59:28.985Z</dcterms:modified>
</cp:coreProperties>
</file>

<file path=docProps/custom.xml><?xml version="1.0" encoding="utf-8"?>
<Properties xmlns="http://schemas.openxmlformats.org/officeDocument/2006/custom-properties" xmlns:vt="http://schemas.openxmlformats.org/officeDocument/2006/docPropsVTypes"/>
</file>